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D93D" w14:textId="2DBC7845" w:rsidR="00D14E4B" w:rsidRPr="002F2C77" w:rsidRDefault="00F02F66" w:rsidP="00D14E4B">
      <w:pPr>
        <w:pStyle w:val="Default"/>
        <w:jc w:val="both"/>
        <w:rPr>
          <w:rFonts w:asciiTheme="minorHAnsi" w:hAnsiTheme="minorHAnsi" w:cstheme="minorHAnsi"/>
          <w:b/>
          <w:sz w:val="22"/>
          <w:szCs w:val="22"/>
          <w:u w:val="single"/>
        </w:rPr>
      </w:pPr>
      <w:r w:rsidRPr="002F2C77">
        <w:rPr>
          <w:rFonts w:asciiTheme="minorHAnsi" w:hAnsiTheme="minorHAnsi" w:cstheme="minorHAnsi"/>
          <w:b/>
          <w:sz w:val="22"/>
          <w:szCs w:val="22"/>
          <w:u w:val="single"/>
        </w:rPr>
        <w:t>Trainer</w:t>
      </w:r>
      <w:r w:rsidR="00D8469A" w:rsidRPr="002F2C77">
        <w:rPr>
          <w:rFonts w:asciiTheme="minorHAnsi" w:hAnsiTheme="minorHAnsi" w:cstheme="minorHAnsi"/>
          <w:b/>
          <w:sz w:val="22"/>
          <w:szCs w:val="22"/>
          <w:u w:val="single"/>
        </w:rPr>
        <w:t xml:space="preserve"> </w:t>
      </w:r>
      <w:r w:rsidR="0024238C" w:rsidRPr="002F2C77">
        <w:rPr>
          <w:rFonts w:asciiTheme="minorHAnsi" w:hAnsiTheme="minorHAnsi" w:cstheme="minorHAnsi"/>
          <w:b/>
          <w:sz w:val="22"/>
          <w:szCs w:val="22"/>
          <w:u w:val="single"/>
        </w:rPr>
        <w:t xml:space="preserve">Phase </w:t>
      </w:r>
      <w:r w:rsidR="0005494C" w:rsidRPr="002F2C77">
        <w:rPr>
          <w:rFonts w:asciiTheme="minorHAnsi" w:hAnsiTheme="minorHAnsi" w:cstheme="minorHAnsi"/>
          <w:b/>
          <w:sz w:val="22"/>
          <w:szCs w:val="22"/>
          <w:u w:val="single"/>
        </w:rPr>
        <w:t>6</w:t>
      </w:r>
      <w:r w:rsidR="00607891" w:rsidRPr="002F2C77">
        <w:rPr>
          <w:rFonts w:asciiTheme="minorHAnsi" w:hAnsiTheme="minorHAnsi" w:cstheme="minorHAnsi"/>
          <w:b/>
          <w:sz w:val="22"/>
          <w:szCs w:val="22"/>
          <w:u w:val="single"/>
        </w:rPr>
        <w:t xml:space="preserve"> Lesson Plan</w:t>
      </w:r>
    </w:p>
    <w:p w14:paraId="176ADB35" w14:textId="79682CAF" w:rsidR="0024238C" w:rsidRPr="002F2C77" w:rsidRDefault="0024238C" w:rsidP="00D14E4B">
      <w:pPr>
        <w:pStyle w:val="Default"/>
        <w:jc w:val="both"/>
        <w:rPr>
          <w:rFonts w:asciiTheme="minorHAnsi" w:hAnsiTheme="minorHAnsi" w:cstheme="minorHAnsi"/>
          <w:b/>
          <w:sz w:val="22"/>
          <w:szCs w:val="22"/>
          <w:u w:val="single"/>
        </w:rPr>
      </w:pPr>
    </w:p>
    <w:p w14:paraId="2C872AC3" w14:textId="22B9945F" w:rsidR="0024238C" w:rsidRPr="002F2C77" w:rsidRDefault="0024238C" w:rsidP="00D14E4B">
      <w:pPr>
        <w:pStyle w:val="Default"/>
        <w:jc w:val="both"/>
        <w:rPr>
          <w:rFonts w:asciiTheme="minorHAnsi" w:hAnsiTheme="minorHAnsi" w:cstheme="minorHAnsi"/>
          <w:bCs/>
          <w:sz w:val="22"/>
          <w:szCs w:val="22"/>
          <w:u w:val="single"/>
        </w:rPr>
      </w:pPr>
      <w:r w:rsidRPr="002F2C77">
        <w:rPr>
          <w:rFonts w:asciiTheme="minorHAnsi" w:hAnsiTheme="minorHAnsi" w:cstheme="minorHAnsi"/>
          <w:bCs/>
          <w:sz w:val="22"/>
          <w:szCs w:val="22"/>
          <w:u w:val="single"/>
        </w:rPr>
        <w:t>Delegate Requirements</w:t>
      </w:r>
    </w:p>
    <w:p w14:paraId="447DBE07" w14:textId="26EFF141" w:rsidR="0024238C" w:rsidRPr="002F2C77" w:rsidRDefault="0024238C" w:rsidP="00D14E4B">
      <w:pPr>
        <w:pStyle w:val="Default"/>
        <w:jc w:val="both"/>
        <w:rPr>
          <w:rFonts w:asciiTheme="minorHAnsi" w:hAnsiTheme="minorHAnsi" w:cstheme="minorHAnsi"/>
          <w:bCs/>
          <w:sz w:val="22"/>
          <w:szCs w:val="22"/>
        </w:rPr>
      </w:pPr>
    </w:p>
    <w:p w14:paraId="5E0714DE" w14:textId="23A05323" w:rsidR="0024238C" w:rsidRPr="002F2C77" w:rsidRDefault="0024238C" w:rsidP="00D14E4B">
      <w:pPr>
        <w:pStyle w:val="Default"/>
        <w:jc w:val="both"/>
        <w:rPr>
          <w:rFonts w:asciiTheme="minorHAnsi" w:hAnsiTheme="minorHAnsi" w:cstheme="minorHAnsi"/>
          <w:bCs/>
          <w:sz w:val="22"/>
          <w:szCs w:val="22"/>
        </w:rPr>
      </w:pPr>
      <w:r w:rsidRPr="002F2C77">
        <w:rPr>
          <w:rFonts w:asciiTheme="minorHAnsi" w:hAnsiTheme="minorHAnsi" w:cstheme="minorHAnsi"/>
          <w:bCs/>
          <w:sz w:val="22"/>
          <w:szCs w:val="22"/>
        </w:rPr>
        <w:t>Laptop/Desktop and Internet Access</w:t>
      </w:r>
    </w:p>
    <w:p w14:paraId="58A22062" w14:textId="5EC1320E" w:rsidR="00607891" w:rsidRPr="002F2C77" w:rsidRDefault="00607891" w:rsidP="00D14E4B">
      <w:pPr>
        <w:pStyle w:val="Default"/>
        <w:jc w:val="both"/>
        <w:rPr>
          <w:rFonts w:asciiTheme="minorHAnsi" w:hAnsiTheme="minorHAnsi" w:cstheme="minorHAnsi"/>
          <w:bCs/>
          <w:sz w:val="22"/>
          <w:szCs w:val="22"/>
        </w:rPr>
      </w:pPr>
    </w:p>
    <w:p w14:paraId="4C9D3731" w14:textId="2F2CC77A" w:rsidR="00607891" w:rsidRPr="002F2C77" w:rsidRDefault="00607891" w:rsidP="00D14E4B">
      <w:pPr>
        <w:pStyle w:val="Default"/>
        <w:jc w:val="both"/>
        <w:rPr>
          <w:rFonts w:asciiTheme="minorHAnsi" w:hAnsiTheme="minorHAnsi" w:cstheme="minorHAnsi"/>
          <w:bCs/>
          <w:sz w:val="22"/>
          <w:szCs w:val="22"/>
          <w:u w:val="single"/>
        </w:rPr>
      </w:pPr>
      <w:r w:rsidRPr="002F2C77">
        <w:rPr>
          <w:rFonts w:asciiTheme="minorHAnsi" w:hAnsiTheme="minorHAnsi" w:cstheme="minorHAnsi"/>
          <w:bCs/>
          <w:sz w:val="22"/>
          <w:szCs w:val="22"/>
          <w:u w:val="single"/>
        </w:rPr>
        <w:t>On-Line Training:</w:t>
      </w:r>
    </w:p>
    <w:p w14:paraId="63ED65E4" w14:textId="40381B0C" w:rsidR="00607891" w:rsidRPr="002F2C77" w:rsidRDefault="00607891" w:rsidP="00D14E4B">
      <w:pPr>
        <w:pStyle w:val="Default"/>
        <w:jc w:val="both"/>
        <w:rPr>
          <w:rFonts w:asciiTheme="minorHAnsi" w:hAnsiTheme="minorHAnsi" w:cstheme="minorHAnsi"/>
          <w:bCs/>
          <w:sz w:val="22"/>
          <w:szCs w:val="22"/>
        </w:rPr>
      </w:pPr>
      <w:r w:rsidRPr="002F2C77">
        <w:rPr>
          <w:rFonts w:asciiTheme="minorHAnsi" w:hAnsiTheme="minorHAnsi" w:cstheme="minorHAnsi"/>
          <w:bCs/>
          <w:sz w:val="22"/>
          <w:szCs w:val="22"/>
        </w:rPr>
        <w:t>Laptop/Desktop with camera and microphone facilities enabled.</w:t>
      </w:r>
    </w:p>
    <w:p w14:paraId="75E2DEBB" w14:textId="79992B62" w:rsidR="00607891" w:rsidRPr="002F2C77" w:rsidRDefault="00607891" w:rsidP="00D14E4B">
      <w:pPr>
        <w:pStyle w:val="Default"/>
        <w:jc w:val="both"/>
        <w:rPr>
          <w:rFonts w:asciiTheme="minorHAnsi" w:hAnsiTheme="minorHAnsi" w:cstheme="minorHAnsi"/>
          <w:bCs/>
          <w:sz w:val="22"/>
          <w:szCs w:val="22"/>
        </w:rPr>
      </w:pPr>
      <w:r w:rsidRPr="002F2C77">
        <w:rPr>
          <w:rFonts w:asciiTheme="minorHAnsi" w:hAnsiTheme="minorHAnsi" w:cstheme="minorHAnsi"/>
          <w:bCs/>
          <w:sz w:val="22"/>
          <w:szCs w:val="22"/>
        </w:rPr>
        <w:t>Delegate to commit to interaction via video and audio conferencing platform provided by CoE.</w:t>
      </w:r>
    </w:p>
    <w:p w14:paraId="67CF7BAC" w14:textId="1A2C12C7" w:rsidR="00607891" w:rsidRPr="002F2C77" w:rsidRDefault="00607891" w:rsidP="00D14E4B">
      <w:pPr>
        <w:pStyle w:val="Default"/>
        <w:jc w:val="both"/>
        <w:rPr>
          <w:rFonts w:asciiTheme="minorHAnsi" w:hAnsiTheme="minorHAnsi" w:cstheme="minorHAnsi"/>
          <w:bCs/>
          <w:sz w:val="22"/>
          <w:szCs w:val="22"/>
        </w:rPr>
      </w:pPr>
      <w:r w:rsidRPr="002F2C77">
        <w:rPr>
          <w:rFonts w:asciiTheme="minorHAnsi" w:hAnsiTheme="minorHAnsi" w:cstheme="minorHAnsi"/>
          <w:bCs/>
          <w:sz w:val="22"/>
          <w:szCs w:val="22"/>
        </w:rPr>
        <w:t>Live translation Services will be provided for the workshop via the conferencing platform</w:t>
      </w:r>
    </w:p>
    <w:p w14:paraId="0D8AD028" w14:textId="77777777" w:rsidR="003961BE" w:rsidRPr="002F2C77" w:rsidRDefault="003961BE" w:rsidP="00D14E4B">
      <w:pPr>
        <w:autoSpaceDE w:val="0"/>
        <w:autoSpaceDN w:val="0"/>
        <w:adjustRightInd w:val="0"/>
        <w:spacing w:after="0" w:line="240" w:lineRule="auto"/>
        <w:jc w:val="both"/>
        <w:rPr>
          <w:rFonts w:eastAsia="Times New Roman" w:cstheme="minorHAnsi"/>
          <w:color w:val="000000"/>
          <w:lang w:eastAsia="de-DE"/>
        </w:rPr>
      </w:pPr>
    </w:p>
    <w:p w14:paraId="1CE8D815" w14:textId="0E61CDBE" w:rsidR="00607891" w:rsidRPr="002F2C77" w:rsidRDefault="00607891" w:rsidP="00607891">
      <w:pPr>
        <w:autoSpaceDE w:val="0"/>
        <w:autoSpaceDN w:val="0"/>
        <w:adjustRightInd w:val="0"/>
        <w:spacing w:after="0" w:line="240" w:lineRule="auto"/>
        <w:jc w:val="both"/>
        <w:rPr>
          <w:rFonts w:eastAsia="Times New Roman" w:cstheme="minorHAnsi"/>
          <w:b/>
          <w:bCs/>
          <w:i/>
          <w:iCs/>
          <w:color w:val="000000"/>
          <w:lang w:eastAsia="de-DE"/>
        </w:rPr>
      </w:pPr>
      <w:r w:rsidRPr="002F2C77">
        <w:rPr>
          <w:rFonts w:eastAsia="Times New Roman" w:cstheme="minorHAnsi"/>
          <w:b/>
          <w:bCs/>
          <w:i/>
          <w:iCs/>
          <w:color w:val="000000"/>
          <w:lang w:eastAsia="de-DE"/>
        </w:rPr>
        <w:t xml:space="preserve">The following is a guide to the actions anticipated from the delegates from this phase of the exercise.  While it is expected the delegates will undertake take their own lines of investigation and collection of evidence, the trainer/facilitators should be able to steer the delegates to considering the below elements which should result in </w:t>
      </w:r>
      <w:r w:rsidR="000E08FA" w:rsidRPr="002F2C77">
        <w:rPr>
          <w:rFonts w:eastAsia="Times New Roman" w:cstheme="minorHAnsi"/>
          <w:b/>
          <w:bCs/>
          <w:i/>
          <w:iCs/>
          <w:color w:val="000000"/>
          <w:lang w:eastAsia="de-DE"/>
        </w:rPr>
        <w:t>several</w:t>
      </w:r>
      <w:r w:rsidRPr="002F2C77">
        <w:rPr>
          <w:rFonts w:eastAsia="Times New Roman" w:cstheme="minorHAnsi"/>
          <w:b/>
          <w:bCs/>
          <w:i/>
          <w:iCs/>
          <w:color w:val="000000"/>
          <w:lang w:eastAsia="de-DE"/>
        </w:rPr>
        <w:t xml:space="preserve"> decisions, orders and exhibits being acquired.</w:t>
      </w:r>
    </w:p>
    <w:p w14:paraId="2BB65BAC" w14:textId="77777777" w:rsidR="00607891" w:rsidRPr="002F2C77" w:rsidRDefault="00607891" w:rsidP="00607891">
      <w:pPr>
        <w:autoSpaceDE w:val="0"/>
        <w:autoSpaceDN w:val="0"/>
        <w:adjustRightInd w:val="0"/>
        <w:spacing w:after="0" w:line="240" w:lineRule="auto"/>
        <w:jc w:val="both"/>
        <w:rPr>
          <w:rFonts w:eastAsia="Times New Roman" w:cstheme="minorHAnsi"/>
          <w:b/>
          <w:bCs/>
          <w:color w:val="000000"/>
          <w:lang w:eastAsia="de-DE"/>
        </w:rPr>
      </w:pPr>
    </w:p>
    <w:p w14:paraId="11BC2BE5" w14:textId="20B549CF" w:rsidR="005A2DC3" w:rsidRPr="002F2C77" w:rsidRDefault="00496743" w:rsidP="00607891">
      <w:pPr>
        <w:autoSpaceDE w:val="0"/>
        <w:autoSpaceDN w:val="0"/>
        <w:adjustRightInd w:val="0"/>
        <w:spacing w:after="0" w:line="240" w:lineRule="auto"/>
        <w:jc w:val="both"/>
        <w:rPr>
          <w:rFonts w:eastAsia="Times New Roman" w:cstheme="minorHAnsi"/>
          <w:color w:val="000000"/>
          <w:lang w:eastAsia="de-DE"/>
        </w:rPr>
      </w:pPr>
      <w:r w:rsidRPr="002F2C77">
        <w:rPr>
          <w:rFonts w:eastAsia="Times New Roman" w:cstheme="minorHAnsi"/>
          <w:color w:val="000000"/>
          <w:lang w:eastAsia="de-DE"/>
        </w:rPr>
        <w:t xml:space="preserve">This </w:t>
      </w:r>
      <w:r w:rsidR="005A2DC3" w:rsidRPr="002F2C77">
        <w:rPr>
          <w:rFonts w:eastAsia="Times New Roman" w:cstheme="minorHAnsi"/>
          <w:color w:val="000000"/>
          <w:lang w:eastAsia="de-DE"/>
        </w:rPr>
        <w:t>phase</w:t>
      </w:r>
      <w:r w:rsidRPr="002F2C77">
        <w:rPr>
          <w:rFonts w:eastAsia="Times New Roman" w:cstheme="minorHAnsi"/>
          <w:color w:val="000000"/>
          <w:lang w:eastAsia="de-DE"/>
        </w:rPr>
        <w:t xml:space="preserve"> will provide two forensic reports for the delegates</w:t>
      </w:r>
      <w:r w:rsidR="005A2DC3" w:rsidRPr="002F2C77">
        <w:rPr>
          <w:rFonts w:eastAsia="Times New Roman" w:cstheme="minorHAnsi"/>
          <w:color w:val="000000"/>
          <w:lang w:eastAsia="de-DE"/>
        </w:rPr>
        <w:t xml:space="preserve">, </w:t>
      </w:r>
      <w:r w:rsidRPr="002F2C77">
        <w:rPr>
          <w:rFonts w:eastAsia="Times New Roman" w:cstheme="minorHAnsi"/>
          <w:color w:val="000000"/>
          <w:lang w:eastAsia="de-DE"/>
        </w:rPr>
        <w:t>Injects 6 and 6.1 can be provided at the same time.  T</w:t>
      </w:r>
      <w:r w:rsidR="005A2DC3" w:rsidRPr="002F2C77">
        <w:rPr>
          <w:rFonts w:eastAsia="Times New Roman" w:cstheme="minorHAnsi"/>
          <w:color w:val="000000"/>
          <w:lang w:eastAsia="de-DE"/>
        </w:rPr>
        <w:t>he session is also an opportunity for delegates to clarify any issues or ambiguities from phase 1-6, it should not be an opportunity to open new investigation, except in relation to Inject 6 and 6.1.</w:t>
      </w:r>
    </w:p>
    <w:p w14:paraId="127E47C2" w14:textId="77777777" w:rsidR="005A2DC3" w:rsidRPr="002F2C77" w:rsidRDefault="005A2DC3" w:rsidP="00607891">
      <w:pPr>
        <w:autoSpaceDE w:val="0"/>
        <w:autoSpaceDN w:val="0"/>
        <w:adjustRightInd w:val="0"/>
        <w:spacing w:after="0" w:line="240" w:lineRule="auto"/>
        <w:jc w:val="both"/>
        <w:rPr>
          <w:rFonts w:eastAsia="Times New Roman" w:cstheme="minorHAnsi"/>
          <w:color w:val="000000"/>
          <w:lang w:eastAsia="de-DE"/>
        </w:rPr>
      </w:pPr>
    </w:p>
    <w:p w14:paraId="0304490B" w14:textId="5C8CA28F" w:rsidR="001A3EF5" w:rsidRPr="002F2C77" w:rsidRDefault="005A2DC3" w:rsidP="00607891">
      <w:pPr>
        <w:autoSpaceDE w:val="0"/>
        <w:autoSpaceDN w:val="0"/>
        <w:adjustRightInd w:val="0"/>
        <w:spacing w:after="0" w:line="240" w:lineRule="auto"/>
        <w:jc w:val="both"/>
        <w:rPr>
          <w:rFonts w:eastAsia="Times New Roman" w:cstheme="minorHAnsi"/>
          <w:color w:val="000000"/>
          <w:lang w:eastAsia="de-DE"/>
        </w:rPr>
      </w:pPr>
      <w:r w:rsidRPr="002F2C77">
        <w:rPr>
          <w:rFonts w:eastAsia="Times New Roman" w:cstheme="minorHAnsi"/>
          <w:color w:val="000000"/>
          <w:lang w:eastAsia="de-DE"/>
        </w:rPr>
        <w:t>At the end of this phase delegates will take all the material they have gathered during these phases for Session 9.</w:t>
      </w:r>
    </w:p>
    <w:p w14:paraId="022D9D9E" w14:textId="77777777" w:rsidR="00F83F63" w:rsidRPr="002F2C77" w:rsidRDefault="00F83F63" w:rsidP="00607891">
      <w:pPr>
        <w:autoSpaceDE w:val="0"/>
        <w:autoSpaceDN w:val="0"/>
        <w:adjustRightInd w:val="0"/>
        <w:spacing w:after="0" w:line="240" w:lineRule="auto"/>
        <w:jc w:val="both"/>
        <w:rPr>
          <w:rFonts w:eastAsia="Times New Roman" w:cstheme="minorHAnsi"/>
          <w:color w:val="000000"/>
          <w:lang w:eastAsia="de-DE"/>
        </w:rPr>
      </w:pPr>
    </w:p>
    <w:p w14:paraId="2A926190" w14:textId="77777777" w:rsidR="00607891" w:rsidRPr="002F2C77" w:rsidRDefault="00607891" w:rsidP="00D14E4B">
      <w:pPr>
        <w:autoSpaceDE w:val="0"/>
        <w:autoSpaceDN w:val="0"/>
        <w:adjustRightInd w:val="0"/>
        <w:spacing w:after="0" w:line="240" w:lineRule="auto"/>
        <w:jc w:val="both"/>
        <w:rPr>
          <w:rFonts w:eastAsia="Times New Roman" w:cstheme="minorHAnsi"/>
          <w:b/>
          <w:bCs/>
          <w:color w:val="000000"/>
          <w:lang w:eastAsia="de-DE"/>
        </w:rPr>
      </w:pPr>
    </w:p>
    <w:p w14:paraId="1F55562E" w14:textId="2A26AA83" w:rsidR="00F02F66" w:rsidRPr="002F2C77" w:rsidRDefault="00D14E4B" w:rsidP="00D14E4B">
      <w:pPr>
        <w:autoSpaceDE w:val="0"/>
        <w:autoSpaceDN w:val="0"/>
        <w:adjustRightInd w:val="0"/>
        <w:spacing w:after="0" w:line="240" w:lineRule="auto"/>
        <w:jc w:val="both"/>
        <w:rPr>
          <w:rFonts w:eastAsia="Times New Roman" w:cstheme="minorHAnsi"/>
          <w:b/>
          <w:bCs/>
          <w:color w:val="000000"/>
          <w:lang w:eastAsia="de-DE"/>
        </w:rPr>
      </w:pPr>
      <w:r w:rsidRPr="002F2C77">
        <w:rPr>
          <w:rFonts w:eastAsia="Times New Roman" w:cstheme="minorHAnsi"/>
          <w:color w:val="000000"/>
          <w:lang w:eastAsia="de-DE"/>
        </w:rPr>
        <w:t xml:space="preserve"> </w:t>
      </w:r>
      <w:r w:rsidR="00F02F66" w:rsidRPr="002F2C77">
        <w:rPr>
          <w:rFonts w:eastAsia="Times New Roman" w:cstheme="minorHAnsi"/>
          <w:b/>
          <w:bCs/>
          <w:color w:val="000000"/>
          <w:lang w:eastAsia="de-DE"/>
        </w:rPr>
        <w:t>Anticipated Outcomes:</w:t>
      </w:r>
    </w:p>
    <w:p w14:paraId="6C0C42B1" w14:textId="77777777" w:rsidR="00DC559F" w:rsidRPr="002F2C77" w:rsidRDefault="00DC559F" w:rsidP="00D14E4B">
      <w:pPr>
        <w:autoSpaceDE w:val="0"/>
        <w:autoSpaceDN w:val="0"/>
        <w:adjustRightInd w:val="0"/>
        <w:spacing w:after="0" w:line="240" w:lineRule="auto"/>
        <w:jc w:val="both"/>
        <w:rPr>
          <w:rFonts w:eastAsia="Times New Roman" w:cstheme="minorHAnsi"/>
          <w:b/>
          <w:bCs/>
          <w:color w:val="000000"/>
          <w:lang w:eastAsia="de-DE"/>
        </w:rPr>
      </w:pPr>
    </w:p>
    <w:tbl>
      <w:tblPr>
        <w:tblStyle w:val="TableGrid"/>
        <w:tblW w:w="0" w:type="auto"/>
        <w:tblLook w:val="04A0" w:firstRow="1" w:lastRow="0" w:firstColumn="1" w:lastColumn="0" w:noHBand="0" w:noVBand="1"/>
      </w:tblPr>
      <w:tblGrid>
        <w:gridCol w:w="421"/>
        <w:gridCol w:w="4677"/>
        <w:gridCol w:w="3918"/>
      </w:tblGrid>
      <w:tr w:rsidR="00DC559F" w:rsidRPr="002F2C77" w14:paraId="2F4AE37F" w14:textId="77777777" w:rsidTr="00496743">
        <w:tc>
          <w:tcPr>
            <w:tcW w:w="421" w:type="dxa"/>
          </w:tcPr>
          <w:p w14:paraId="40ABAA14" w14:textId="77777777" w:rsidR="00DC559F" w:rsidRPr="002F2C77" w:rsidRDefault="00DC559F" w:rsidP="00D14E4B">
            <w:pPr>
              <w:autoSpaceDE w:val="0"/>
              <w:autoSpaceDN w:val="0"/>
              <w:adjustRightInd w:val="0"/>
              <w:jc w:val="both"/>
              <w:rPr>
                <w:rFonts w:eastAsia="Times New Roman" w:cstheme="minorHAnsi"/>
                <w:color w:val="000000"/>
                <w:lang w:eastAsia="de-DE"/>
              </w:rPr>
            </w:pPr>
          </w:p>
        </w:tc>
        <w:tc>
          <w:tcPr>
            <w:tcW w:w="4677" w:type="dxa"/>
          </w:tcPr>
          <w:p w14:paraId="14A89A22" w14:textId="2242E714" w:rsidR="00DC559F" w:rsidRPr="002F2C77" w:rsidRDefault="00DC559F" w:rsidP="00DC559F">
            <w:pPr>
              <w:autoSpaceDE w:val="0"/>
              <w:autoSpaceDN w:val="0"/>
              <w:adjustRightInd w:val="0"/>
              <w:jc w:val="center"/>
              <w:rPr>
                <w:rFonts w:eastAsia="Times New Roman" w:cstheme="minorHAnsi"/>
                <w:b/>
                <w:bCs/>
                <w:color w:val="000000"/>
                <w:lang w:eastAsia="de-DE"/>
              </w:rPr>
            </w:pPr>
            <w:r w:rsidRPr="002F2C77">
              <w:rPr>
                <w:rFonts w:eastAsia="Times New Roman" w:cstheme="minorHAnsi"/>
                <w:b/>
                <w:bCs/>
                <w:color w:val="000000"/>
                <w:lang w:eastAsia="de-DE"/>
              </w:rPr>
              <w:t>Anticipated Action</w:t>
            </w:r>
          </w:p>
        </w:tc>
        <w:tc>
          <w:tcPr>
            <w:tcW w:w="3918" w:type="dxa"/>
          </w:tcPr>
          <w:p w14:paraId="232DCE2A" w14:textId="7C2A8C38" w:rsidR="00DC559F" w:rsidRPr="002F2C77" w:rsidRDefault="00DC559F" w:rsidP="00DC559F">
            <w:pPr>
              <w:autoSpaceDE w:val="0"/>
              <w:autoSpaceDN w:val="0"/>
              <w:adjustRightInd w:val="0"/>
              <w:jc w:val="center"/>
              <w:rPr>
                <w:rFonts w:eastAsia="Times New Roman" w:cstheme="minorHAnsi"/>
                <w:b/>
                <w:bCs/>
                <w:color w:val="000000"/>
                <w:lang w:eastAsia="de-DE"/>
              </w:rPr>
            </w:pPr>
            <w:r w:rsidRPr="002F2C77">
              <w:rPr>
                <w:rFonts w:eastAsia="Times New Roman" w:cstheme="minorHAnsi"/>
                <w:b/>
                <w:bCs/>
                <w:color w:val="000000"/>
                <w:lang w:eastAsia="de-DE"/>
              </w:rPr>
              <w:t>Additional Injects and Information</w:t>
            </w:r>
          </w:p>
        </w:tc>
      </w:tr>
      <w:tr w:rsidR="00F02F66" w:rsidRPr="002F2C77" w14:paraId="3034ED8C" w14:textId="77777777" w:rsidTr="00496743">
        <w:tc>
          <w:tcPr>
            <w:tcW w:w="421" w:type="dxa"/>
          </w:tcPr>
          <w:p w14:paraId="6726899A" w14:textId="31689783" w:rsidR="00F02F66" w:rsidRPr="002F2C77" w:rsidRDefault="00F02F66" w:rsidP="00D14E4B">
            <w:p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1</w:t>
            </w:r>
          </w:p>
        </w:tc>
        <w:tc>
          <w:tcPr>
            <w:tcW w:w="4677" w:type="dxa"/>
          </w:tcPr>
          <w:p w14:paraId="52130D46" w14:textId="77777777" w:rsidR="004D7EA4" w:rsidRPr="002F2C77" w:rsidRDefault="004D7EA4" w:rsidP="004D7EA4">
            <w:pPr>
              <w:pStyle w:val="Header"/>
              <w:rPr>
                <w:rFonts w:cstheme="minorHAnsi"/>
                <w:b/>
                <w:bCs/>
              </w:rPr>
            </w:pPr>
            <w:r w:rsidRPr="002F2C77">
              <w:rPr>
                <w:rFonts w:cstheme="minorHAnsi"/>
                <w:b/>
                <w:bCs/>
              </w:rPr>
              <w:t>Inject 6 – Federal Computer Crime Unit – Court Report: Forensic Analysis – Koen Smets</w:t>
            </w:r>
          </w:p>
          <w:p w14:paraId="78A50235" w14:textId="77777777" w:rsidR="004D7EA4" w:rsidRPr="002F2C77" w:rsidRDefault="004D7EA4" w:rsidP="00D14E4B">
            <w:pPr>
              <w:autoSpaceDE w:val="0"/>
              <w:autoSpaceDN w:val="0"/>
              <w:adjustRightInd w:val="0"/>
              <w:jc w:val="both"/>
              <w:rPr>
                <w:rFonts w:eastAsia="Times New Roman" w:cstheme="minorHAnsi"/>
                <w:color w:val="000000"/>
                <w:lang w:eastAsia="de-DE"/>
              </w:rPr>
            </w:pPr>
          </w:p>
          <w:p w14:paraId="13EEEF56" w14:textId="16668260" w:rsidR="00F02F66" w:rsidRPr="002F2C77" w:rsidRDefault="004D7EA4" w:rsidP="00D14E4B">
            <w:p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Delegates should consider:</w:t>
            </w:r>
          </w:p>
          <w:p w14:paraId="75A45179" w14:textId="239460C3" w:rsidR="004D7EA4" w:rsidRPr="002F2C77" w:rsidRDefault="004D7EA4" w:rsidP="004D7EA4">
            <w:pPr>
              <w:pStyle w:val="ListParagraph"/>
              <w:numPr>
                <w:ilvl w:val="0"/>
                <w:numId w:val="1"/>
              </w:num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The contents of the Digital Forensics report</w:t>
            </w:r>
          </w:p>
          <w:p w14:paraId="0E50E738" w14:textId="1AB2001C" w:rsidR="004D7EA4" w:rsidRPr="002F2C77" w:rsidRDefault="004D7EA4" w:rsidP="004D7EA4">
            <w:pPr>
              <w:pStyle w:val="ListParagraph"/>
              <w:numPr>
                <w:ilvl w:val="0"/>
                <w:numId w:val="1"/>
              </w:num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Evidential value</w:t>
            </w:r>
          </w:p>
          <w:p w14:paraId="39BADFE1" w14:textId="436A3F29" w:rsidR="004D7EA4" w:rsidRPr="002F2C77" w:rsidRDefault="004D7EA4" w:rsidP="004D7EA4">
            <w:pPr>
              <w:pStyle w:val="ListParagraph"/>
              <w:numPr>
                <w:ilvl w:val="0"/>
                <w:numId w:val="1"/>
              </w:num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Implications of the findings on any hearing</w:t>
            </w:r>
          </w:p>
          <w:p w14:paraId="5E05DC6A" w14:textId="7750CE42" w:rsidR="004D7EA4" w:rsidRPr="002F2C77" w:rsidRDefault="004D7EA4" w:rsidP="004D7EA4">
            <w:pPr>
              <w:pStyle w:val="ListParagraph"/>
              <w:numPr>
                <w:ilvl w:val="0"/>
                <w:numId w:val="1"/>
              </w:num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Prepare the court papers for legal argument.</w:t>
            </w:r>
          </w:p>
          <w:p w14:paraId="03F413A6" w14:textId="77777777" w:rsidR="004D7EA4" w:rsidRPr="002F2C77" w:rsidRDefault="004D7EA4" w:rsidP="00D14E4B">
            <w:pPr>
              <w:autoSpaceDE w:val="0"/>
              <w:autoSpaceDN w:val="0"/>
              <w:adjustRightInd w:val="0"/>
              <w:jc w:val="both"/>
              <w:rPr>
                <w:rFonts w:eastAsia="Times New Roman" w:cstheme="minorHAnsi"/>
                <w:color w:val="000000"/>
                <w:lang w:eastAsia="de-DE"/>
              </w:rPr>
            </w:pPr>
          </w:p>
          <w:p w14:paraId="12348E55" w14:textId="054519B1" w:rsidR="003C0E9E" w:rsidRPr="002F2C77" w:rsidRDefault="003C0E9E" w:rsidP="00D14E4B">
            <w:pPr>
              <w:autoSpaceDE w:val="0"/>
              <w:autoSpaceDN w:val="0"/>
              <w:adjustRightInd w:val="0"/>
              <w:jc w:val="both"/>
              <w:rPr>
                <w:rFonts w:eastAsia="Times New Roman" w:cstheme="minorHAnsi"/>
                <w:color w:val="000000"/>
                <w:lang w:eastAsia="de-DE"/>
              </w:rPr>
            </w:pPr>
          </w:p>
          <w:p w14:paraId="4C79C8D0" w14:textId="488E96CE" w:rsidR="003961BE" w:rsidRPr="002F2C77" w:rsidRDefault="003961BE" w:rsidP="004D7EA4">
            <w:pPr>
              <w:autoSpaceDE w:val="0"/>
              <w:autoSpaceDN w:val="0"/>
              <w:adjustRightInd w:val="0"/>
              <w:jc w:val="center"/>
              <w:rPr>
                <w:rFonts w:eastAsia="Times New Roman" w:cstheme="minorHAnsi"/>
                <w:color w:val="000000"/>
                <w:lang w:eastAsia="de-DE"/>
              </w:rPr>
            </w:pPr>
          </w:p>
        </w:tc>
        <w:tc>
          <w:tcPr>
            <w:tcW w:w="3918" w:type="dxa"/>
          </w:tcPr>
          <w:p w14:paraId="0020735B" w14:textId="77777777" w:rsidR="004D7EA4" w:rsidRPr="002F2C77" w:rsidRDefault="004D7EA4" w:rsidP="00D14E4B">
            <w:pPr>
              <w:autoSpaceDE w:val="0"/>
              <w:autoSpaceDN w:val="0"/>
              <w:adjustRightInd w:val="0"/>
              <w:jc w:val="both"/>
              <w:rPr>
                <w:rFonts w:eastAsia="Times New Roman" w:cstheme="minorHAnsi"/>
                <w:color w:val="000000"/>
                <w:lang w:eastAsia="de-DE"/>
              </w:rPr>
            </w:pPr>
          </w:p>
          <w:p w14:paraId="3695F0EE" w14:textId="462BDB86" w:rsidR="004D7EA4" w:rsidRPr="002F2C77" w:rsidRDefault="004D7EA4" w:rsidP="00D14E4B">
            <w:p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The forensic report covers the defence issues raised at the arrest of Sam Hendrix.</w:t>
            </w:r>
          </w:p>
          <w:p w14:paraId="1B917AF9" w14:textId="77777777" w:rsidR="004D7EA4" w:rsidRPr="002F2C77" w:rsidRDefault="004D7EA4" w:rsidP="00D14E4B">
            <w:pPr>
              <w:autoSpaceDE w:val="0"/>
              <w:autoSpaceDN w:val="0"/>
              <w:adjustRightInd w:val="0"/>
              <w:jc w:val="both"/>
              <w:rPr>
                <w:rFonts w:eastAsia="Times New Roman" w:cstheme="minorHAnsi"/>
                <w:color w:val="000000"/>
                <w:lang w:eastAsia="de-DE"/>
              </w:rPr>
            </w:pPr>
          </w:p>
          <w:p w14:paraId="12F98BA6" w14:textId="3A337CFF" w:rsidR="00F02F66" w:rsidRPr="002F2C77" w:rsidRDefault="004D7EA4" w:rsidP="00D14E4B">
            <w:p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 xml:space="preserve">Delegates are expected to use this report in the preparation of </w:t>
            </w:r>
            <w:r w:rsidR="0005494C" w:rsidRPr="002F2C77">
              <w:rPr>
                <w:rFonts w:eastAsia="Times New Roman" w:cstheme="minorHAnsi"/>
                <w:color w:val="000000"/>
                <w:lang w:eastAsia="de-DE"/>
              </w:rPr>
              <w:t>court papers for legal argument.</w:t>
            </w:r>
          </w:p>
          <w:p w14:paraId="6086E777" w14:textId="77777777" w:rsidR="0005494C" w:rsidRPr="002F2C77" w:rsidRDefault="0005494C" w:rsidP="00D14E4B">
            <w:pPr>
              <w:autoSpaceDE w:val="0"/>
              <w:autoSpaceDN w:val="0"/>
              <w:adjustRightInd w:val="0"/>
              <w:jc w:val="both"/>
              <w:rPr>
                <w:rFonts w:eastAsia="Times New Roman" w:cstheme="minorHAnsi"/>
                <w:color w:val="000000"/>
                <w:lang w:eastAsia="de-DE"/>
              </w:rPr>
            </w:pPr>
          </w:p>
          <w:p w14:paraId="7719B4AB" w14:textId="5BC669EA" w:rsidR="0005494C" w:rsidRPr="002F2C77" w:rsidRDefault="00496743" w:rsidP="00D14E4B">
            <w:pPr>
              <w:autoSpaceDE w:val="0"/>
              <w:autoSpaceDN w:val="0"/>
              <w:adjustRightInd w:val="0"/>
              <w:jc w:val="both"/>
              <w:rPr>
                <w:rFonts w:eastAsia="Times New Roman" w:cstheme="minorHAnsi"/>
                <w:color w:val="000000"/>
                <w:lang w:eastAsia="de-DE"/>
              </w:rPr>
            </w:pPr>
            <w:r w:rsidRPr="002F2C77">
              <w:rPr>
                <w:rFonts w:eastAsia="Times New Roman" w:cstheme="minorHAnsi"/>
                <w:color w:val="FF0000"/>
                <w:lang w:eastAsia="de-DE"/>
              </w:rPr>
              <w:t>Trainers note: Both Inject 6 and 6.1 can be provided to delegates at the same time.</w:t>
            </w:r>
          </w:p>
        </w:tc>
      </w:tr>
      <w:tr w:rsidR="004D7EA4" w:rsidRPr="002F2C77" w14:paraId="110FEB70" w14:textId="77777777" w:rsidTr="00496743">
        <w:tc>
          <w:tcPr>
            <w:tcW w:w="421" w:type="dxa"/>
          </w:tcPr>
          <w:p w14:paraId="6480F01C" w14:textId="5B4A0AD1" w:rsidR="004D7EA4" w:rsidRPr="002F2C77" w:rsidRDefault="000B1EF1" w:rsidP="00D14E4B">
            <w:p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2</w:t>
            </w:r>
          </w:p>
        </w:tc>
        <w:tc>
          <w:tcPr>
            <w:tcW w:w="4677" w:type="dxa"/>
          </w:tcPr>
          <w:p w14:paraId="1EDC375B" w14:textId="77777777" w:rsidR="004D7EA4" w:rsidRPr="002F2C77" w:rsidRDefault="000B1EF1" w:rsidP="0005494C">
            <w:pPr>
              <w:autoSpaceDE w:val="0"/>
              <w:autoSpaceDN w:val="0"/>
              <w:adjustRightInd w:val="0"/>
              <w:jc w:val="both"/>
              <w:rPr>
                <w:rFonts w:eastAsia="Times New Roman" w:cstheme="minorHAnsi"/>
                <w:b/>
                <w:bCs/>
                <w:lang w:eastAsia="de-DE"/>
              </w:rPr>
            </w:pPr>
            <w:r w:rsidRPr="002F2C77">
              <w:rPr>
                <w:rFonts w:eastAsia="Times New Roman" w:cstheme="minorHAnsi"/>
                <w:b/>
                <w:bCs/>
                <w:lang w:eastAsia="de-DE"/>
              </w:rPr>
              <w:t>Inject 6.1 Federal Computer Crime Unit Forensic Analysis – Koen Smets</w:t>
            </w:r>
          </w:p>
          <w:p w14:paraId="386E1E9C" w14:textId="69F4D13D" w:rsidR="00496743" w:rsidRPr="002F2C77" w:rsidRDefault="00496743" w:rsidP="0005494C">
            <w:pPr>
              <w:autoSpaceDE w:val="0"/>
              <w:autoSpaceDN w:val="0"/>
              <w:adjustRightInd w:val="0"/>
              <w:jc w:val="both"/>
              <w:rPr>
                <w:rFonts w:eastAsia="Times New Roman" w:cstheme="minorHAnsi"/>
                <w:lang w:eastAsia="de-DE"/>
              </w:rPr>
            </w:pPr>
          </w:p>
          <w:p w14:paraId="17EC4684" w14:textId="77777777" w:rsidR="00496743" w:rsidRPr="002F2C77" w:rsidRDefault="00496743" w:rsidP="00496743">
            <w:p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Delegates should consider:</w:t>
            </w:r>
          </w:p>
          <w:p w14:paraId="5E59E83A" w14:textId="77777777" w:rsidR="00496743" w:rsidRPr="002F2C77" w:rsidRDefault="00496743" w:rsidP="00496743">
            <w:pPr>
              <w:pStyle w:val="ListParagraph"/>
              <w:numPr>
                <w:ilvl w:val="0"/>
                <w:numId w:val="1"/>
              </w:num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The contents of the Digital Forensics report</w:t>
            </w:r>
          </w:p>
          <w:p w14:paraId="3A2EF4B4" w14:textId="77777777" w:rsidR="00496743" w:rsidRPr="002F2C77" w:rsidRDefault="00496743" w:rsidP="00496743">
            <w:pPr>
              <w:pStyle w:val="ListParagraph"/>
              <w:numPr>
                <w:ilvl w:val="0"/>
                <w:numId w:val="1"/>
              </w:num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Evidential value</w:t>
            </w:r>
          </w:p>
          <w:p w14:paraId="366E6BFE" w14:textId="77777777" w:rsidR="00496743" w:rsidRPr="002F2C77" w:rsidRDefault="00496743" w:rsidP="00496743">
            <w:pPr>
              <w:pStyle w:val="ListParagraph"/>
              <w:numPr>
                <w:ilvl w:val="0"/>
                <w:numId w:val="1"/>
              </w:num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Implications of the findings on any hearing</w:t>
            </w:r>
          </w:p>
          <w:p w14:paraId="4531B781" w14:textId="77777777" w:rsidR="00496743" w:rsidRPr="002F2C77" w:rsidRDefault="00496743" w:rsidP="00496743">
            <w:pPr>
              <w:pStyle w:val="ListParagraph"/>
              <w:numPr>
                <w:ilvl w:val="0"/>
                <w:numId w:val="1"/>
              </w:num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Prepare the court papers for legal argument.</w:t>
            </w:r>
          </w:p>
          <w:p w14:paraId="700C036C" w14:textId="77777777" w:rsidR="00496743" w:rsidRPr="002F2C77" w:rsidRDefault="00496743" w:rsidP="0005494C">
            <w:pPr>
              <w:autoSpaceDE w:val="0"/>
              <w:autoSpaceDN w:val="0"/>
              <w:adjustRightInd w:val="0"/>
              <w:jc w:val="both"/>
              <w:rPr>
                <w:rFonts w:eastAsia="Times New Roman" w:cstheme="minorHAnsi"/>
                <w:lang w:eastAsia="de-DE"/>
              </w:rPr>
            </w:pPr>
          </w:p>
          <w:p w14:paraId="41885C15" w14:textId="0144689E" w:rsidR="00496743" w:rsidRPr="002F2C77" w:rsidRDefault="00496743" w:rsidP="0005494C">
            <w:pPr>
              <w:autoSpaceDE w:val="0"/>
              <w:autoSpaceDN w:val="0"/>
              <w:adjustRightInd w:val="0"/>
              <w:jc w:val="both"/>
              <w:rPr>
                <w:rFonts w:eastAsia="Times New Roman" w:cstheme="minorHAnsi"/>
                <w:color w:val="000000"/>
                <w:lang w:eastAsia="de-DE"/>
              </w:rPr>
            </w:pPr>
          </w:p>
        </w:tc>
        <w:tc>
          <w:tcPr>
            <w:tcW w:w="3918" w:type="dxa"/>
          </w:tcPr>
          <w:p w14:paraId="27415969" w14:textId="09BC5AE4" w:rsidR="004D7EA4" w:rsidRPr="002F2C77" w:rsidRDefault="004D7EA4" w:rsidP="00D14E4B">
            <w:pPr>
              <w:autoSpaceDE w:val="0"/>
              <w:autoSpaceDN w:val="0"/>
              <w:adjustRightInd w:val="0"/>
              <w:jc w:val="both"/>
              <w:rPr>
                <w:rFonts w:eastAsia="Times New Roman" w:cstheme="minorHAnsi"/>
                <w:color w:val="000000"/>
                <w:lang w:eastAsia="de-DE"/>
              </w:rPr>
            </w:pPr>
          </w:p>
        </w:tc>
      </w:tr>
      <w:tr w:rsidR="00F02F66" w:rsidRPr="002F2C77" w14:paraId="708C8B3A" w14:textId="77777777" w:rsidTr="00496743">
        <w:tc>
          <w:tcPr>
            <w:tcW w:w="421" w:type="dxa"/>
          </w:tcPr>
          <w:p w14:paraId="7989DD36" w14:textId="55DF2114" w:rsidR="00F02F66" w:rsidRPr="002F2C77" w:rsidRDefault="000B1EF1" w:rsidP="00D14E4B">
            <w:p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lastRenderedPageBreak/>
              <w:t>3</w:t>
            </w:r>
          </w:p>
        </w:tc>
        <w:tc>
          <w:tcPr>
            <w:tcW w:w="4677" w:type="dxa"/>
          </w:tcPr>
          <w:p w14:paraId="38F85A27" w14:textId="3D099FE2" w:rsidR="003961BE" w:rsidRPr="002F2C77" w:rsidRDefault="0005494C" w:rsidP="0005494C">
            <w:pPr>
              <w:autoSpaceDE w:val="0"/>
              <w:autoSpaceDN w:val="0"/>
              <w:adjustRightInd w:val="0"/>
              <w:jc w:val="both"/>
              <w:rPr>
                <w:rFonts w:eastAsia="Times New Roman" w:cstheme="minorHAnsi"/>
                <w:color w:val="000000"/>
                <w:lang w:eastAsia="de-DE"/>
              </w:rPr>
            </w:pPr>
            <w:r w:rsidRPr="002F2C77">
              <w:rPr>
                <w:rFonts w:eastAsia="Times New Roman" w:cstheme="minorHAnsi"/>
                <w:color w:val="000000"/>
                <w:lang w:eastAsia="de-DE"/>
              </w:rPr>
              <w:t>Opportunity for delegates to ask questions and clarification</w:t>
            </w:r>
            <w:r w:rsidR="00496743" w:rsidRPr="002F2C77">
              <w:rPr>
                <w:rFonts w:eastAsia="Times New Roman" w:cstheme="minorHAnsi"/>
                <w:color w:val="000000"/>
                <w:lang w:eastAsia="de-DE"/>
              </w:rPr>
              <w:t xml:space="preserve"> about material gathered in Phases 1-6</w:t>
            </w:r>
            <w:r w:rsidRPr="002F2C77">
              <w:rPr>
                <w:rFonts w:eastAsia="Times New Roman" w:cstheme="minorHAnsi"/>
                <w:color w:val="000000"/>
                <w:lang w:eastAsia="de-DE"/>
              </w:rPr>
              <w:t>, before preparation for the hearing.</w:t>
            </w:r>
          </w:p>
        </w:tc>
        <w:tc>
          <w:tcPr>
            <w:tcW w:w="3918" w:type="dxa"/>
          </w:tcPr>
          <w:p w14:paraId="2AA7559F" w14:textId="20A20B4A" w:rsidR="00F02F66" w:rsidRPr="002F2C77" w:rsidRDefault="00496743" w:rsidP="00D14E4B">
            <w:pPr>
              <w:autoSpaceDE w:val="0"/>
              <w:autoSpaceDN w:val="0"/>
              <w:adjustRightInd w:val="0"/>
              <w:jc w:val="both"/>
              <w:rPr>
                <w:rFonts w:eastAsia="Times New Roman" w:cstheme="minorHAnsi"/>
                <w:color w:val="000000"/>
                <w:lang w:eastAsia="de-DE"/>
              </w:rPr>
            </w:pPr>
            <w:r w:rsidRPr="002F2C77">
              <w:rPr>
                <w:rFonts w:eastAsia="Times New Roman" w:cstheme="minorHAnsi"/>
                <w:color w:val="FF0000"/>
                <w:lang w:eastAsia="de-DE"/>
              </w:rPr>
              <w:t>Trainers note: Opportunity for delegates to ask questions and clarification, before undertaking preparation for the hearing.</w:t>
            </w:r>
          </w:p>
        </w:tc>
      </w:tr>
      <w:tr w:rsidR="00F02F66" w:rsidRPr="00F02F66" w14:paraId="64B53EB5" w14:textId="77777777" w:rsidTr="00496743">
        <w:tc>
          <w:tcPr>
            <w:tcW w:w="421" w:type="dxa"/>
          </w:tcPr>
          <w:p w14:paraId="5AC6216F" w14:textId="205B1E75" w:rsidR="00F02F66" w:rsidRPr="00F02F66" w:rsidRDefault="00F02F66" w:rsidP="00D14E4B">
            <w:pPr>
              <w:autoSpaceDE w:val="0"/>
              <w:autoSpaceDN w:val="0"/>
              <w:adjustRightInd w:val="0"/>
              <w:jc w:val="both"/>
              <w:rPr>
                <w:rFonts w:ascii="Times New Roman" w:eastAsia="Times New Roman" w:hAnsi="Times New Roman" w:cs="Times New Roman"/>
                <w:color w:val="000000"/>
                <w:lang w:eastAsia="de-DE"/>
              </w:rPr>
            </w:pPr>
          </w:p>
        </w:tc>
        <w:tc>
          <w:tcPr>
            <w:tcW w:w="4677" w:type="dxa"/>
          </w:tcPr>
          <w:p w14:paraId="7DFD98C8" w14:textId="1A7CE8DD" w:rsidR="004B00E1" w:rsidRPr="00F02F66" w:rsidRDefault="004B00E1" w:rsidP="004B00E1">
            <w:pPr>
              <w:autoSpaceDE w:val="0"/>
              <w:autoSpaceDN w:val="0"/>
              <w:adjustRightInd w:val="0"/>
              <w:rPr>
                <w:rFonts w:ascii="Times New Roman" w:eastAsia="Times New Roman" w:hAnsi="Times New Roman" w:cs="Times New Roman"/>
                <w:color w:val="000000"/>
                <w:lang w:eastAsia="de-DE"/>
              </w:rPr>
            </w:pPr>
          </w:p>
        </w:tc>
        <w:tc>
          <w:tcPr>
            <w:tcW w:w="3918" w:type="dxa"/>
          </w:tcPr>
          <w:p w14:paraId="04DB1B5C" w14:textId="77777777" w:rsidR="00F02F66" w:rsidRPr="00F02F66" w:rsidRDefault="00F02F66" w:rsidP="00D14E4B">
            <w:pPr>
              <w:autoSpaceDE w:val="0"/>
              <w:autoSpaceDN w:val="0"/>
              <w:adjustRightInd w:val="0"/>
              <w:jc w:val="both"/>
              <w:rPr>
                <w:rFonts w:ascii="Times New Roman" w:eastAsia="Times New Roman" w:hAnsi="Times New Roman" w:cs="Times New Roman"/>
                <w:color w:val="000000"/>
                <w:lang w:eastAsia="de-DE"/>
              </w:rPr>
            </w:pPr>
          </w:p>
        </w:tc>
      </w:tr>
    </w:tbl>
    <w:p w14:paraId="1FB3906E" w14:textId="77777777" w:rsidR="00F02F66" w:rsidRPr="00F02F66" w:rsidRDefault="00F02F66" w:rsidP="00D14E4B">
      <w:pPr>
        <w:autoSpaceDE w:val="0"/>
        <w:autoSpaceDN w:val="0"/>
        <w:adjustRightInd w:val="0"/>
        <w:spacing w:after="0" w:line="240" w:lineRule="auto"/>
        <w:jc w:val="both"/>
        <w:rPr>
          <w:rFonts w:ascii="Times New Roman" w:eastAsia="Times New Roman" w:hAnsi="Times New Roman" w:cs="Times New Roman"/>
          <w:color w:val="000000"/>
          <w:lang w:eastAsia="de-DE"/>
        </w:rPr>
      </w:pPr>
    </w:p>
    <w:sectPr w:rsidR="00F02F66" w:rsidRPr="00F02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B6DCE"/>
    <w:multiLevelType w:val="hybridMultilevel"/>
    <w:tmpl w:val="931E7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818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83"/>
    <w:rsid w:val="0005494C"/>
    <w:rsid w:val="000569D6"/>
    <w:rsid w:val="0007220D"/>
    <w:rsid w:val="000808A1"/>
    <w:rsid w:val="000B1EF1"/>
    <w:rsid w:val="000E08FA"/>
    <w:rsid w:val="001800B2"/>
    <w:rsid w:val="0019410A"/>
    <w:rsid w:val="001A3EF5"/>
    <w:rsid w:val="001D58C2"/>
    <w:rsid w:val="0024238C"/>
    <w:rsid w:val="002A30F1"/>
    <w:rsid w:val="002F2C77"/>
    <w:rsid w:val="00363492"/>
    <w:rsid w:val="003961BE"/>
    <w:rsid w:val="003C0E9E"/>
    <w:rsid w:val="00496743"/>
    <w:rsid w:val="004B00E1"/>
    <w:rsid w:val="004B1A93"/>
    <w:rsid w:val="004D0938"/>
    <w:rsid w:val="004D7EA4"/>
    <w:rsid w:val="005410C3"/>
    <w:rsid w:val="00542B37"/>
    <w:rsid w:val="00551876"/>
    <w:rsid w:val="00565B30"/>
    <w:rsid w:val="00577DB7"/>
    <w:rsid w:val="0059197E"/>
    <w:rsid w:val="005A2DC3"/>
    <w:rsid w:val="00607891"/>
    <w:rsid w:val="006265F9"/>
    <w:rsid w:val="00634885"/>
    <w:rsid w:val="00655331"/>
    <w:rsid w:val="006F7116"/>
    <w:rsid w:val="007102FA"/>
    <w:rsid w:val="00741A92"/>
    <w:rsid w:val="0077435D"/>
    <w:rsid w:val="007763F6"/>
    <w:rsid w:val="007F6208"/>
    <w:rsid w:val="00823877"/>
    <w:rsid w:val="008A33B8"/>
    <w:rsid w:val="008C559F"/>
    <w:rsid w:val="008D0A8C"/>
    <w:rsid w:val="008D3178"/>
    <w:rsid w:val="0096099E"/>
    <w:rsid w:val="00983A13"/>
    <w:rsid w:val="00A22E1B"/>
    <w:rsid w:val="00A360AB"/>
    <w:rsid w:val="00A75A0C"/>
    <w:rsid w:val="00AE58F7"/>
    <w:rsid w:val="00AF5283"/>
    <w:rsid w:val="00C50D9D"/>
    <w:rsid w:val="00C519C9"/>
    <w:rsid w:val="00D14E4B"/>
    <w:rsid w:val="00D354FC"/>
    <w:rsid w:val="00D8469A"/>
    <w:rsid w:val="00D855D7"/>
    <w:rsid w:val="00DC559F"/>
    <w:rsid w:val="00DD0062"/>
    <w:rsid w:val="00E464D0"/>
    <w:rsid w:val="00E75E6E"/>
    <w:rsid w:val="00EE7947"/>
    <w:rsid w:val="00EF5F84"/>
    <w:rsid w:val="00F02F66"/>
    <w:rsid w:val="00F83F63"/>
    <w:rsid w:val="00FA1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C407"/>
  <w15:chartTrackingRefBased/>
  <w15:docId w15:val="{BAF0CCAA-A96C-4AC6-9C7A-C7E196C3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E4B"/>
    <w:pPr>
      <w:autoSpaceDE w:val="0"/>
      <w:autoSpaceDN w:val="0"/>
      <w:adjustRightInd w:val="0"/>
      <w:spacing w:after="0" w:line="240" w:lineRule="auto"/>
    </w:pPr>
    <w:rPr>
      <w:rFonts w:ascii="Calibri" w:eastAsia="Times New Roman" w:hAnsi="Calibri" w:cs="Calibri"/>
      <w:color w:val="000000"/>
      <w:sz w:val="24"/>
      <w:szCs w:val="24"/>
      <w:lang w:val="de-DE" w:eastAsia="de-DE"/>
    </w:rPr>
  </w:style>
  <w:style w:type="table" w:styleId="TableGrid">
    <w:name w:val="Table Grid"/>
    <w:basedOn w:val="TableNormal"/>
    <w:uiPriority w:val="39"/>
    <w:rsid w:val="00F0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559F"/>
    <w:rPr>
      <w:color w:val="0563C1" w:themeColor="hyperlink"/>
      <w:u w:val="single"/>
    </w:rPr>
  </w:style>
  <w:style w:type="character" w:styleId="UnresolvedMention">
    <w:name w:val="Unresolved Mention"/>
    <w:basedOn w:val="DefaultParagraphFont"/>
    <w:uiPriority w:val="99"/>
    <w:semiHidden/>
    <w:unhideWhenUsed/>
    <w:rsid w:val="00DC559F"/>
    <w:rPr>
      <w:color w:val="605E5C"/>
      <w:shd w:val="clear" w:color="auto" w:fill="E1DFDD"/>
    </w:rPr>
  </w:style>
  <w:style w:type="paragraph" w:styleId="Header">
    <w:name w:val="header"/>
    <w:basedOn w:val="Normal"/>
    <w:link w:val="HeaderChar"/>
    <w:uiPriority w:val="99"/>
    <w:unhideWhenUsed/>
    <w:rsid w:val="004D7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EA4"/>
  </w:style>
  <w:style w:type="paragraph" w:styleId="ListParagraph">
    <w:name w:val="List Paragraph"/>
    <w:basedOn w:val="Normal"/>
    <w:uiPriority w:val="34"/>
    <w:qFormat/>
    <w:rsid w:val="004D7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Baker</dc:creator>
  <cp:keywords/>
  <dc:description/>
  <cp:lastModifiedBy>Terry Baker</cp:lastModifiedBy>
  <cp:revision>4</cp:revision>
  <dcterms:created xsi:type="dcterms:W3CDTF">2022-07-04T10:13:00Z</dcterms:created>
  <dcterms:modified xsi:type="dcterms:W3CDTF">2022-07-04T10:19:00Z</dcterms:modified>
</cp:coreProperties>
</file>