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7C3E8" w14:textId="77777777" w:rsidR="00D82C18" w:rsidRPr="009A7633" w:rsidRDefault="000C2F59" w:rsidP="009A7633">
      <w:pPr>
        <w:spacing w:before="120" w:after="120" w:line="260" w:lineRule="atLeast"/>
        <w:rPr>
          <w:rFonts w:ascii="Verdana" w:hAnsi="Verdana"/>
          <w:b/>
          <w:bCs/>
          <w:noProof/>
          <w:lang w:val="tr-TR"/>
        </w:rPr>
      </w:pPr>
      <w:r w:rsidRPr="009A7633">
        <w:rPr>
          <w:rFonts w:ascii="Verdana" w:hAnsi="Verdana"/>
          <w:b/>
          <w:bCs/>
          <w:noProof/>
          <w:sz w:val="28"/>
          <w:szCs w:val="28"/>
          <w:lang w:val="tr-TR"/>
        </w:rPr>
        <w:t xml:space="preserve">Ders 1.5 Karşılıklı </w:t>
      </w:r>
      <w:r w:rsidR="00C731AA" w:rsidRPr="009A7633">
        <w:rPr>
          <w:rFonts w:ascii="Verdana" w:hAnsi="Verdana"/>
          <w:b/>
          <w:bCs/>
          <w:noProof/>
          <w:sz w:val="28"/>
          <w:szCs w:val="28"/>
          <w:lang w:val="tr-TR"/>
        </w:rPr>
        <w:t xml:space="preserve">Adli </w:t>
      </w:r>
      <w:r w:rsidRPr="009A7633">
        <w:rPr>
          <w:rFonts w:ascii="Verdana" w:hAnsi="Verdana"/>
          <w:b/>
          <w:bCs/>
          <w:noProof/>
          <w:sz w:val="28"/>
          <w:szCs w:val="28"/>
          <w:lang w:val="tr-TR"/>
        </w:rPr>
        <w:t>Yardım Uygulaması</w:t>
      </w:r>
      <w:r w:rsidR="009116D8" w:rsidRPr="009A7633">
        <w:rPr>
          <w:rFonts w:ascii="Verdana" w:hAnsi="Verdana"/>
          <w:b/>
          <w:bCs/>
          <w:noProof/>
          <w:sz w:val="28"/>
          <w:szCs w:val="28"/>
          <w:lang w:val="tr-TR"/>
        </w:rPr>
        <w:t xml:space="preserve"> ve Usulü</w:t>
      </w:r>
    </w:p>
    <w:p w14:paraId="2C536C81" w14:textId="77777777" w:rsidR="00C115FC" w:rsidRPr="009A7633" w:rsidRDefault="00C115FC" w:rsidP="009A7633">
      <w:pPr>
        <w:spacing w:before="120" w:after="120" w:line="260" w:lineRule="atLeast"/>
        <w:ind w:left="360"/>
        <w:rPr>
          <w:rFonts w:ascii="Verdana" w:hAnsi="Verdana"/>
          <w:noProof/>
          <w:lang w:val="tr-T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9A7633" w14:paraId="6893B5E3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177666CF" w14:textId="77777777" w:rsidR="00D82C18" w:rsidRPr="009A7633" w:rsidRDefault="000C2F59" w:rsidP="009A7633">
            <w:pPr>
              <w:spacing w:before="120" w:after="120" w:line="260" w:lineRule="atLeast"/>
              <w:rPr>
                <w:rFonts w:ascii="Verdana" w:hAnsi="Verdana"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noProof/>
                <w:sz w:val="22"/>
                <w:szCs w:val="22"/>
                <w:lang w:val="tr-TR"/>
              </w:rPr>
              <w:t xml:space="preserve">Ders 1.5 Karşılıklı </w:t>
            </w:r>
            <w:r w:rsidR="00C731AA" w:rsidRPr="009A7633">
              <w:rPr>
                <w:rFonts w:ascii="Verdana" w:hAnsi="Verdana"/>
                <w:noProof/>
                <w:sz w:val="22"/>
                <w:szCs w:val="22"/>
                <w:lang w:val="tr-TR"/>
              </w:rPr>
              <w:t xml:space="preserve">Adli </w:t>
            </w:r>
            <w:r w:rsidRPr="009A7633">
              <w:rPr>
                <w:rFonts w:ascii="Verdana" w:hAnsi="Verdana"/>
                <w:noProof/>
                <w:sz w:val="22"/>
                <w:szCs w:val="22"/>
                <w:lang w:val="tr-TR"/>
              </w:rPr>
              <w:t>Yardım Uygulaması</w:t>
            </w:r>
            <w:r w:rsidR="009116D8" w:rsidRPr="009A7633">
              <w:rPr>
                <w:rFonts w:ascii="Verdana" w:hAnsi="Verdana"/>
                <w:noProof/>
                <w:sz w:val="22"/>
                <w:szCs w:val="22"/>
                <w:lang w:val="tr-TR"/>
              </w:rPr>
              <w:t xml:space="preserve"> ve Usulü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452D3CA" w14:textId="77777777" w:rsidR="00D82C18" w:rsidRPr="009A7633" w:rsidRDefault="000C2F59" w:rsidP="009A7633">
            <w:pPr>
              <w:spacing w:before="120" w:after="120" w:line="260" w:lineRule="atLeast"/>
              <w:rPr>
                <w:rFonts w:ascii="Verdana" w:hAnsi="Verdana"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noProof/>
                <w:sz w:val="22"/>
                <w:szCs w:val="22"/>
                <w:lang w:val="tr-TR"/>
              </w:rPr>
              <w:t>Süre: 90 dakika</w:t>
            </w:r>
          </w:p>
        </w:tc>
      </w:tr>
      <w:tr w:rsidR="00E7344B" w:rsidRPr="009A7633" w14:paraId="40655A2C" w14:textId="77777777" w:rsidTr="00B56791">
        <w:trPr>
          <w:trHeight w:val="1376"/>
        </w:trPr>
        <w:tc>
          <w:tcPr>
            <w:tcW w:w="9010" w:type="dxa"/>
            <w:gridSpan w:val="3"/>
            <w:vAlign w:val="center"/>
          </w:tcPr>
          <w:p w14:paraId="05B5A693" w14:textId="77777777" w:rsidR="00E7344B" w:rsidRPr="009A7633" w:rsidRDefault="000C2F59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Gerek</w:t>
            </w:r>
            <w:r w:rsidR="00C731AA"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li</w:t>
            </w: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 xml:space="preserve"> Kaynaklar</w:t>
            </w:r>
            <w:r w:rsidR="00E7344B"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:</w:t>
            </w:r>
            <w:r w:rsidR="00E13BE7"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 xml:space="preserve"> </w:t>
            </w:r>
          </w:p>
          <w:p w14:paraId="24C41877" w14:textId="77777777" w:rsidR="000C2F59" w:rsidRPr="009A7633" w:rsidRDefault="000C2F59" w:rsidP="009A7633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noProof/>
                <w:lang w:val="tr-TR"/>
              </w:rPr>
            </w:pPr>
            <w:r w:rsidRPr="009A7633">
              <w:rPr>
                <w:noProof/>
                <w:lang w:val="tr-TR"/>
              </w:rPr>
              <w:t>Hazır</w:t>
            </w:r>
            <w:r w:rsidR="00A53A89" w:rsidRPr="009A7633">
              <w:rPr>
                <w:noProof/>
                <w:lang w:val="tr-TR"/>
              </w:rPr>
              <w:t>lanan</w:t>
            </w:r>
            <w:r w:rsidRPr="009A7633">
              <w:rPr>
                <w:noProof/>
                <w:lang w:val="tr-TR"/>
              </w:rPr>
              <w:t xml:space="preserve"> </w:t>
            </w:r>
            <w:r w:rsidR="00A53A89" w:rsidRPr="009A7633">
              <w:rPr>
                <w:noProof/>
                <w:lang w:val="tr-TR"/>
              </w:rPr>
              <w:t xml:space="preserve">materyallerle </w:t>
            </w:r>
            <w:r w:rsidRPr="009A7633">
              <w:rPr>
                <w:noProof/>
                <w:lang w:val="tr-TR"/>
              </w:rPr>
              <w:t>uyumlu yazılım sürümleri yükl</w:t>
            </w:r>
            <w:r w:rsidR="00FA6132" w:rsidRPr="009A7633">
              <w:rPr>
                <w:noProof/>
                <w:lang w:val="tr-TR"/>
              </w:rPr>
              <w:t>enmiş</w:t>
            </w:r>
            <w:r w:rsidRPr="009A7633">
              <w:rPr>
                <w:noProof/>
                <w:lang w:val="tr-TR"/>
              </w:rPr>
              <w:t xml:space="preserve"> PC/</w:t>
            </w:r>
            <w:r w:rsidR="00554819" w:rsidRPr="009A7633">
              <w:t>dizüstü bilgisayar (Laptop)</w:t>
            </w:r>
          </w:p>
          <w:p w14:paraId="11EB5683" w14:textId="77777777" w:rsidR="000C2F59" w:rsidRPr="009A7633" w:rsidRDefault="000C2F59" w:rsidP="009A7633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noProof/>
                <w:lang w:val="tr-TR"/>
              </w:rPr>
            </w:pPr>
            <w:r w:rsidRPr="009A7633">
              <w:rPr>
                <w:noProof/>
                <w:lang w:val="tr-TR"/>
              </w:rPr>
              <w:t>İnternet erişimi (</w:t>
            </w:r>
            <w:r w:rsidR="00FA6132" w:rsidRPr="009A7633">
              <w:rPr>
                <w:noProof/>
                <w:lang w:val="tr-TR"/>
              </w:rPr>
              <w:t>mevcutsa</w:t>
            </w:r>
            <w:r w:rsidRPr="009A7633">
              <w:rPr>
                <w:noProof/>
                <w:lang w:val="tr-TR"/>
              </w:rPr>
              <w:t>)</w:t>
            </w:r>
          </w:p>
          <w:p w14:paraId="0C62ABCC" w14:textId="77777777" w:rsidR="000F7896" w:rsidRPr="009A7633" w:rsidRDefault="000C2F59" w:rsidP="009A7633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noProof/>
                <w:lang w:val="tr-TR"/>
              </w:rPr>
            </w:pPr>
            <w:r w:rsidRPr="009A7633">
              <w:rPr>
                <w:noProof/>
                <w:lang w:val="tr-TR"/>
              </w:rPr>
              <w:t>PowerPoint veya diğer sunum yazılımları</w:t>
            </w:r>
          </w:p>
        </w:tc>
      </w:tr>
      <w:tr w:rsidR="00E7344B" w:rsidRPr="009A7633" w14:paraId="4D1D656D" w14:textId="77777777" w:rsidTr="004D35F1">
        <w:trPr>
          <w:trHeight w:val="2051"/>
        </w:trPr>
        <w:tc>
          <w:tcPr>
            <w:tcW w:w="9010" w:type="dxa"/>
            <w:gridSpan w:val="3"/>
            <w:vAlign w:val="center"/>
          </w:tcPr>
          <w:p w14:paraId="0B411225" w14:textId="77777777" w:rsidR="00A03CF0" w:rsidRPr="009A7633" w:rsidRDefault="000C2F59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Oturumun Amacı</w:t>
            </w:r>
            <w:r w:rsidR="00A03CF0"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 xml:space="preserve">:  </w:t>
            </w:r>
          </w:p>
          <w:p w14:paraId="5A61C5D8" w14:textId="77777777" w:rsidR="00B56791" w:rsidRPr="009A7633" w:rsidRDefault="000C2F59" w:rsidP="009A7633">
            <w:pPr>
              <w:spacing w:before="120" w:after="120" w:line="260" w:lineRule="atLeast"/>
              <w:jc w:val="both"/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</w:pPr>
            <w:r w:rsidRPr="009A7633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  <w:t>Oturum</w:t>
            </w:r>
            <w:r w:rsidR="00FA6132" w:rsidRPr="009A7633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  <w:t>un amacı,</w:t>
            </w:r>
            <w:r w:rsidRPr="009A7633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  <w:t xml:space="preserve"> Karşılıklı </w:t>
            </w:r>
            <w:r w:rsidR="00735B0B" w:rsidRPr="009A7633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  <w:t>Yardım (MLA) uygulaması ve usulü ve iade kavramının yanı sıra MLA sürecinin mevcut zorlukları ve farklı hukuk sistemlerinin MLA sürecinin verimliliğini nasıl etkileyebileceğinin tartışılması</w:t>
            </w:r>
            <w:r w:rsidR="00FA6132" w:rsidRPr="009A7633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  <w:t>dır.</w:t>
            </w:r>
            <w:r w:rsidRPr="009A7633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tr-TR"/>
              </w:rPr>
              <w:t xml:space="preserve"> </w:t>
            </w:r>
          </w:p>
          <w:p w14:paraId="1585E7E1" w14:textId="6B650874" w:rsidR="00A03CF0" w:rsidRPr="009A7633" w:rsidRDefault="000C2F59" w:rsidP="009A7633">
            <w:p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MLA prosedürü, özel kuruluşlar</w:t>
            </w:r>
            <w:r w:rsidR="00735B0B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ı</w:t>
            </w:r>
            <w:r w:rsidR="00FA613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n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işbirliği prosedürleri ile de tamamlanmalıdır, çünkü bazı resmi yönleri </w:t>
            </w:r>
            <w:r w:rsidR="00FA613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doğrudan ISS işbirliği gibi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Sözleşme ve ulusal yasalardan gelmektedir.</w:t>
            </w:r>
          </w:p>
        </w:tc>
      </w:tr>
      <w:tr w:rsidR="00A03CF0" w:rsidRPr="009A7633" w14:paraId="4C8A3A0A" w14:textId="77777777" w:rsidTr="00F1338F">
        <w:trPr>
          <w:trHeight w:val="5894"/>
        </w:trPr>
        <w:tc>
          <w:tcPr>
            <w:tcW w:w="9010" w:type="dxa"/>
            <w:gridSpan w:val="3"/>
          </w:tcPr>
          <w:p w14:paraId="6262D0DC" w14:textId="77777777" w:rsidR="00A03CF0" w:rsidRPr="009A7633" w:rsidRDefault="000C2F59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Hedefler</w:t>
            </w:r>
            <w:r w:rsidR="00271010"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:</w:t>
            </w:r>
          </w:p>
          <w:p w14:paraId="03F37BD7" w14:textId="77777777" w:rsidR="000C2F59" w:rsidRPr="009A7633" w:rsidRDefault="000C2F59" w:rsidP="009A76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 xml:space="preserve">Karşılıklı </w:t>
            </w:r>
            <w:r w:rsidR="00735B0B"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 xml:space="preserve">Yardımlaşma uygulamalarını ve </w:t>
            </w:r>
            <w:r w:rsidR="009116D8"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 xml:space="preserve">usullerini </w:t>
            </w: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>daha iyi anlamak</w:t>
            </w:r>
          </w:p>
          <w:p w14:paraId="2EE29A82" w14:textId="77777777" w:rsidR="000C2F59" w:rsidRPr="009A7633" w:rsidRDefault="000C2F59" w:rsidP="009A76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>MLA sürecinin zorlukları</w:t>
            </w:r>
            <w:r w:rsidR="00735B0B"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>nı</w:t>
            </w: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 xml:space="preserve"> ve bunun verimliliğini neyin ve nasıl etkilediğini öğrenmek </w:t>
            </w:r>
          </w:p>
          <w:p w14:paraId="464E37EE" w14:textId="77777777" w:rsidR="000C2F59" w:rsidRPr="009A7633" w:rsidRDefault="000C2F59" w:rsidP="009A76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 xml:space="preserve">İşbirliği araçları, standartları ve iletişim kanalları hakkında bilgi edinmek </w:t>
            </w:r>
          </w:p>
          <w:p w14:paraId="41C482F9" w14:textId="77777777" w:rsidR="000C2F59" w:rsidRPr="009A7633" w:rsidRDefault="000C2F59" w:rsidP="009A76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>Farklı yasal gerekliliklerin ne olduğunu anlamak</w:t>
            </w:r>
          </w:p>
          <w:p w14:paraId="2AE1584F" w14:textId="77777777" w:rsidR="000C2F59" w:rsidRPr="009A7633" w:rsidRDefault="000C2F59" w:rsidP="009A76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>MLA'nın mevcut değerlendirmeleri hakkında bilgi edinmek ve sürecin nasıl iyileştirilebileceği konusunda tavsiyeler hakkında farkındalık yaratmak</w:t>
            </w:r>
          </w:p>
          <w:p w14:paraId="22059DFA" w14:textId="77777777" w:rsidR="004D35F1" w:rsidRPr="009A7633" w:rsidRDefault="000C2F59" w:rsidP="009A76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eastAsia="Times New Roman" w:hAnsi="Verdana" w:cs="Times New Roman"/>
                <w:noProof/>
                <w:sz w:val="18"/>
                <w:szCs w:val="18"/>
                <w:lang w:val="tr-TR"/>
              </w:rPr>
              <w:t>Mevcut destekleyici araçlar hakkındaki bilgileri geliştirmek</w:t>
            </w:r>
          </w:p>
        </w:tc>
      </w:tr>
      <w:tr w:rsidR="005703B7" w:rsidRPr="009A7633" w14:paraId="475530A3" w14:textId="77777777" w:rsidTr="009A7633">
        <w:trPr>
          <w:trHeight w:val="3500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6DE170A4" w14:textId="77777777" w:rsidR="005703B7" w:rsidRPr="009A7633" w:rsidRDefault="00B67F81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color w:val="000000" w:themeColor="text1"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color w:val="000000" w:themeColor="text1"/>
                <w:sz w:val="22"/>
                <w:szCs w:val="22"/>
                <w:lang w:val="tr-TR"/>
              </w:rPr>
              <w:lastRenderedPageBreak/>
              <w:t>Eğit</w:t>
            </w:r>
            <w:r w:rsidR="00C731AA" w:rsidRPr="009A7633">
              <w:rPr>
                <w:rFonts w:ascii="Verdana" w:hAnsi="Verdana"/>
                <w:b/>
                <w:noProof/>
                <w:color w:val="000000" w:themeColor="text1"/>
                <w:sz w:val="22"/>
                <w:szCs w:val="22"/>
                <w:lang w:val="tr-TR"/>
              </w:rPr>
              <w:t>ici Rehberi</w:t>
            </w:r>
          </w:p>
          <w:p w14:paraId="7CAB29B4" w14:textId="77777777" w:rsidR="00463FE7" w:rsidRPr="009A7633" w:rsidRDefault="00B67F81" w:rsidP="009A7633">
            <w:pPr>
              <w:spacing w:before="120" w:after="120" w:line="260" w:lineRule="atLeast"/>
              <w:jc w:val="both"/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  <w:t xml:space="preserve">Oturum </w:t>
            </w:r>
            <w:r w:rsidR="00735B0B" w:rsidRPr="009A7633"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  <w:t xml:space="preserve">boyunca </w:t>
            </w:r>
            <w:r w:rsidRPr="009A7633"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  <w:t xml:space="preserve">aşağıdaki </w:t>
            </w:r>
            <w:r w:rsidR="00735B0B" w:rsidRPr="009A7633"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  <w:t xml:space="preserve">hususlar </w:t>
            </w:r>
            <w:r w:rsidRPr="009A7633"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  <w:t>dikkate alınmalıdır:</w:t>
            </w:r>
          </w:p>
          <w:p w14:paraId="4D6BCE68" w14:textId="77777777" w:rsidR="00463FE7" w:rsidRPr="009A7633" w:rsidRDefault="00B67F81" w:rsidP="009A7633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 xml:space="preserve">Budapeşte Sözleşmesine özel </w:t>
            </w:r>
            <w:r w:rsidR="00735B0B"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>olarak değinerek</w:t>
            </w: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 xml:space="preserve"> ikili, çok taraflı ve uluslararası anlaşmalar dahil olmak üzere uluslararası işbirliği araçları, standartları ve iletişim kanalları</w:t>
            </w:r>
          </w:p>
          <w:p w14:paraId="3BDA5AE7" w14:textId="77777777" w:rsidR="00463FE7" w:rsidRPr="009A7633" w:rsidRDefault="00BE33C7" w:rsidP="009A7633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>İletişim kanalları, doğrudan iletişim ve merkezi makamlar, diplomatik kanallar ve Interpol kanalı arasındaki iletişim ve hızlandırılmış iletişim konularını içermelidir.</w:t>
            </w:r>
          </w:p>
          <w:p w14:paraId="42DE11B5" w14:textId="77777777" w:rsidR="00463FE7" w:rsidRPr="009A7633" w:rsidRDefault="00BE33C7" w:rsidP="009A7633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 xml:space="preserve">Karşılıklı </w:t>
            </w:r>
            <w:r w:rsidR="00735B0B"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>Yardım talebinin şekli, içeriği, ek bilgileri ve iç hukukun uygulanması dahil olmak üzere yasal gereksinimleri ve hususları</w:t>
            </w:r>
          </w:p>
          <w:p w14:paraId="5C5A12A9" w14:textId="77777777" w:rsidR="00463FE7" w:rsidRPr="009A7633" w:rsidRDefault="00BE33C7" w:rsidP="009A7633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>Hususlar hem talep eden hem de talep edilen tarafın sorunlarını içermelidir</w:t>
            </w:r>
          </w:p>
          <w:p w14:paraId="068AC94C" w14:textId="77777777" w:rsidR="00463FE7" w:rsidRPr="009A7633" w:rsidRDefault="00BE33C7" w:rsidP="009A7633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>Avrupa Konseyi tarafından MLA ve diğer hükümlerin, tavsiyelerin ve mevcut destek araçlarının değerlendirilmesi</w:t>
            </w:r>
          </w:p>
          <w:p w14:paraId="141366A3" w14:textId="783A691D" w:rsidR="00006EAD" w:rsidRPr="009A7633" w:rsidRDefault="00BE33C7" w:rsidP="009A7633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 w:cs="Arial"/>
                <w:noProof/>
                <w:sz w:val="18"/>
                <w:szCs w:val="18"/>
                <w:lang w:val="tr-TR"/>
              </w:rPr>
              <w:t>Destek Araçları canlı İnternet bağlantısı ile kullanılmalıdır</w:t>
            </w:r>
          </w:p>
        </w:tc>
      </w:tr>
      <w:tr w:rsidR="005A4E47" w:rsidRPr="009A7633" w14:paraId="3964A401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37CA9D" w14:textId="77777777" w:rsidR="005A4E47" w:rsidRPr="009A7633" w:rsidRDefault="00BE33C7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sz w:val="28"/>
                <w:szCs w:val="28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8"/>
                <w:szCs w:val="28"/>
                <w:lang w:val="tr-TR"/>
              </w:rPr>
              <w:t>Ders İçeriği</w:t>
            </w:r>
          </w:p>
        </w:tc>
      </w:tr>
      <w:tr w:rsidR="00F1574D" w:rsidRPr="009A7633" w14:paraId="7D32F66F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64F49254" w14:textId="77777777" w:rsidR="00D82C18" w:rsidRPr="009A7633" w:rsidRDefault="00BE33C7" w:rsidP="009A7633">
            <w:pPr>
              <w:spacing w:before="120" w:after="120" w:line="260" w:lineRule="atLeast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Slayt Numarası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159E83CC" w14:textId="77777777" w:rsidR="00D82C18" w:rsidRPr="009A7633" w:rsidRDefault="00BE33C7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İçerik</w:t>
            </w:r>
          </w:p>
        </w:tc>
      </w:tr>
      <w:tr w:rsidR="00F1574D" w:rsidRPr="009A7633" w14:paraId="3880CECC" w14:textId="77777777" w:rsidTr="00BD7897">
        <w:trPr>
          <w:trHeight w:val="1043"/>
        </w:trPr>
        <w:tc>
          <w:tcPr>
            <w:tcW w:w="1525" w:type="dxa"/>
            <w:vAlign w:val="center"/>
          </w:tcPr>
          <w:p w14:paraId="4E6D3100" w14:textId="0F901924" w:rsidR="00F1574D" w:rsidRPr="009A7633" w:rsidRDefault="00CF2169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1 -</w:t>
            </w:r>
            <w:r w:rsidR="003630ED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3</w:t>
            </w:r>
          </w:p>
        </w:tc>
        <w:tc>
          <w:tcPr>
            <w:tcW w:w="7485" w:type="dxa"/>
            <w:gridSpan w:val="2"/>
            <w:vAlign w:val="center"/>
          </w:tcPr>
          <w:p w14:paraId="1863675B" w14:textId="09BF6B9D" w:rsidR="00556D69" w:rsidRPr="009A7633" w:rsidRDefault="002654A6" w:rsidP="009A7633">
            <w:pPr>
              <w:spacing w:before="120" w:after="120" w:line="260" w:lineRule="atLeast"/>
              <w:jc w:val="both"/>
              <w:rPr>
                <w:rFonts w:ascii="Verdana" w:hAnsi="Verdana"/>
                <w:noProof/>
                <w:color w:val="FF0000"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Açılış slaytları oturuma giriş niteliğindedir ve oturum</w:t>
            </w:r>
            <w:r w:rsidR="00A53A89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un</w:t>
            </w: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 gündemini ve hedeflerini ve Giriş eğitimin</w:t>
            </w:r>
            <w:r w:rsidR="00E54972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i hatırlatıcı</w:t>
            </w: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 bazı alt </w:t>
            </w:r>
            <w:r w:rsidR="00E54972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başlıkları </w:t>
            </w: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içerir.</w:t>
            </w:r>
            <w:r w:rsidR="00556D69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  </w:t>
            </w:r>
          </w:p>
        </w:tc>
      </w:tr>
      <w:tr w:rsidR="00F1574D" w:rsidRPr="009A7633" w14:paraId="1F2B1A0A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408A3F8D" w14:textId="77777777" w:rsidR="00F1574D" w:rsidRPr="009A7633" w:rsidRDefault="00FE15D2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4</w:t>
            </w:r>
            <w:r w:rsidR="00151E6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0C2F5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–</w:t>
            </w:r>
            <w:r w:rsidR="00151E6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7</w:t>
            </w:r>
          </w:p>
        </w:tc>
        <w:tc>
          <w:tcPr>
            <w:tcW w:w="7485" w:type="dxa"/>
            <w:gridSpan w:val="2"/>
            <w:vAlign w:val="center"/>
          </w:tcPr>
          <w:p w14:paraId="12B4DD17" w14:textId="77777777" w:rsidR="00151E6A" w:rsidRPr="009A7633" w:rsidRDefault="002654A6" w:rsidP="009A7633">
            <w:pPr>
              <w:pStyle w:val="Subtitle"/>
              <w:spacing w:before="120" w:line="260" w:lineRule="atLeast"/>
              <w:rPr>
                <w:rFonts w:ascii="Verdana" w:eastAsia="Times New Roman" w:hAnsi="Verdana"/>
                <w:noProof/>
                <w:szCs w:val="18"/>
                <w:lang w:val="tr-TR"/>
              </w:rPr>
            </w:pP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 xml:space="preserve">Bu slaytlar, karşılıklı </w:t>
            </w:r>
            <w:r w:rsidR="00E54972"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 xml:space="preserve">yardım anlaşmasını (MLAT), kamu veya ceza yasalarını uygulamak amacıyla bilgi toplamak ve bilgi alışverişinde bulunmak üzere iki veya daha fazla ülke arasında yapılan bir anlaşma olarak açıklamaktadır. Karşılıklı </w:t>
            </w:r>
            <w:r w:rsidR="00E54972"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>yardım</w:t>
            </w:r>
            <w:r w:rsidR="00E54972"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>a ilişkin</w:t>
            </w: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 xml:space="preserve"> temel seviye antlaşmalarla temsil edilmektedir. İkili (iki ülke arasında), çok taraflı (üç veya daha fazla ülke arasında) veya uluslararası (önemli sayıda ülke arasında, muhtemelen kıtalararası) olmak üzere farklı anlaşmalar vardır.</w:t>
            </w:r>
          </w:p>
          <w:p w14:paraId="3F927F2A" w14:textId="77777777" w:rsidR="00151E6A" w:rsidRPr="009A7633" w:rsidRDefault="00C3459D" w:rsidP="009A7633">
            <w:pPr>
              <w:pStyle w:val="Subtitle"/>
              <w:spacing w:before="120" w:line="260" w:lineRule="atLeast"/>
              <w:rPr>
                <w:rFonts w:ascii="Verdana" w:eastAsia="Times New Roman" w:hAnsi="Verdana"/>
                <w:noProof/>
                <w:szCs w:val="18"/>
                <w:lang w:val="tr-TR"/>
              </w:rPr>
            </w:pP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>Bu tür anlaşmaların güçlendirilmesi için ana gerekçelerden bazıları genel uluslararası hukuk ilkelerinin uygulanamaz olması ve bunları imzalayan ülkelerin cezai işbirliği için daha sağlam bir zemine ihtiyaç duymasıdır.</w:t>
            </w:r>
            <w:r w:rsidR="00151E6A"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 xml:space="preserve"> </w:t>
            </w: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>Avantajları ve dezavantajları slaytta açıkça sunulmuştur.</w:t>
            </w:r>
            <w:r w:rsidR="00151E6A"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 xml:space="preserve"> </w:t>
            </w:r>
          </w:p>
          <w:p w14:paraId="722556DB" w14:textId="77777777" w:rsidR="00151E6A" w:rsidRPr="009A7633" w:rsidRDefault="00C3459D" w:rsidP="009A7633">
            <w:pPr>
              <w:pStyle w:val="Subtitle"/>
              <w:spacing w:before="120" w:line="260" w:lineRule="atLeast"/>
              <w:rPr>
                <w:rFonts w:ascii="Verdana" w:eastAsia="Times New Roman" w:hAnsi="Verdana"/>
                <w:noProof/>
                <w:szCs w:val="18"/>
                <w:lang w:val="tr-TR"/>
              </w:rPr>
            </w:pP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>Uluslararası sözleşmeler, ülkeler arasındaki anlaşmalar veya sözleşmelerdir. "Uluslararası sözleşme" genellikle "uluslararası anlaşma", "pakt" veya "devletlerarası sözleşme" gibi terimlerle birbirinin yerine kullanılır.</w:t>
            </w:r>
          </w:p>
          <w:p w14:paraId="1D81FF47" w14:textId="77777777" w:rsidR="00CB3026" w:rsidRPr="009A7633" w:rsidRDefault="00C3459D" w:rsidP="009A7633">
            <w:pPr>
              <w:pStyle w:val="Subtitle"/>
              <w:spacing w:before="120" w:line="260" w:lineRule="atLeast"/>
              <w:rPr>
                <w:rFonts w:ascii="Verdana" w:eastAsia="Times New Roman" w:hAnsi="Verdana"/>
                <w:noProof/>
                <w:szCs w:val="18"/>
                <w:lang w:val="tr-TR"/>
              </w:rPr>
            </w:pPr>
            <w:r w:rsidRPr="009A7633">
              <w:rPr>
                <w:rFonts w:ascii="Verdana" w:eastAsia="Times New Roman" w:hAnsi="Verdana"/>
                <w:noProof/>
                <w:szCs w:val="18"/>
                <w:lang w:val="tr-TR"/>
              </w:rPr>
              <w:t>Sözleşmeler genel veya özel nitelikte olabilir ve iki veya çok sayıda devlet arasında olabilir. İki devlet arasındaki sözleşmelere ikili anlaşmalar denir; az sayıda (ancak ikiden fazla) devlet arasındaki sözleşmelere çoklu antlaşmalar denir; çok sayıda devlet arasındaki sözleşmelere çok taraflı antlaşmalar denir.</w:t>
            </w:r>
          </w:p>
        </w:tc>
      </w:tr>
      <w:tr w:rsidR="00F1574D" w:rsidRPr="009A7633" w14:paraId="5135234A" w14:textId="77777777" w:rsidTr="009A7633">
        <w:trPr>
          <w:trHeight w:val="710"/>
        </w:trPr>
        <w:tc>
          <w:tcPr>
            <w:tcW w:w="1525" w:type="dxa"/>
            <w:vAlign w:val="center"/>
          </w:tcPr>
          <w:p w14:paraId="5392C3E7" w14:textId="77777777" w:rsidR="00F1574D" w:rsidRPr="009A7633" w:rsidRDefault="00FE15D2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8 </w:t>
            </w:r>
            <w:r w:rsidR="00CF216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-</w:t>
            </w:r>
            <w:r w:rsidR="00FE45C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151E6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1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2</w:t>
            </w:r>
          </w:p>
        </w:tc>
        <w:tc>
          <w:tcPr>
            <w:tcW w:w="7485" w:type="dxa"/>
            <w:gridSpan w:val="2"/>
            <w:vAlign w:val="center"/>
          </w:tcPr>
          <w:p w14:paraId="40725FB1" w14:textId="77777777" w:rsidR="00151E6A" w:rsidRPr="009A7633" w:rsidRDefault="009F30DD" w:rsidP="009A7633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noProof/>
                <w:kern w:val="24"/>
                <w:lang w:val="tr-TR" w:eastAsia="en-GB"/>
              </w:rPr>
            </w:pPr>
            <w:r w:rsidRPr="009A7633">
              <w:rPr>
                <w:rFonts w:ascii="Verdana" w:eastAsia="Times New Roman" w:hAnsi="Verdana"/>
                <w:noProof/>
                <w:lang w:val="tr-TR"/>
              </w:rPr>
              <w:t xml:space="preserve">Bu slaytlar Budapeşte </w:t>
            </w:r>
            <w:r w:rsidR="003A4051" w:rsidRPr="009A7633">
              <w:rPr>
                <w:rFonts w:ascii="Verdana" w:eastAsia="Times New Roman" w:hAnsi="Verdana"/>
                <w:noProof/>
                <w:lang w:val="tr-TR"/>
              </w:rPr>
              <w:t>Sözleşmesi</w:t>
            </w:r>
            <w:r w:rsidRPr="009A7633">
              <w:rPr>
                <w:rFonts w:ascii="Verdana" w:eastAsia="Times New Roman" w:hAnsi="Verdana"/>
                <w:noProof/>
                <w:lang w:val="tr-TR"/>
              </w:rPr>
              <w:t>, İngiliz Milletler Topluluğu Harare Planı vb. gibi bazı Uluslararası anlaşmaların örneklerini vermektedir.</w:t>
            </w:r>
          </w:p>
          <w:p w14:paraId="7ECDDCEB" w14:textId="77777777" w:rsidR="00EB29B4" w:rsidRPr="009A7633" w:rsidRDefault="009F30DD" w:rsidP="009A7633">
            <w:pPr>
              <w:pStyle w:val="Subtitle"/>
              <w:spacing w:before="120" w:line="260" w:lineRule="atLeast"/>
              <w:rPr>
                <w:rFonts w:ascii="Verdana" w:eastAsia="Times New Roman" w:hAnsi="Verdana"/>
                <w:noProof/>
                <w:lang w:val="tr-TR"/>
              </w:rPr>
            </w:pPr>
            <w:r w:rsidRPr="009A7633">
              <w:rPr>
                <w:rFonts w:ascii="Verdana" w:eastAsia="Times New Roman" w:hAnsi="Verdana"/>
                <w:noProof/>
                <w:lang w:val="tr-TR"/>
              </w:rPr>
              <w:t>Ceza hukuku, siber</w:t>
            </w:r>
            <w:r w:rsidR="001D0FE1" w:rsidRPr="009A7633">
              <w:rPr>
                <w:rFonts w:ascii="Verdana" w:eastAsia="Times New Roman" w:hAnsi="Verdana"/>
                <w:noProof/>
                <w:lang w:val="tr-TR"/>
              </w:rPr>
              <w:t>-uzay</w:t>
            </w:r>
            <w:r w:rsidRPr="009A7633">
              <w:rPr>
                <w:rFonts w:ascii="Verdana" w:eastAsia="Times New Roman" w:hAnsi="Verdana"/>
                <w:noProof/>
                <w:lang w:val="tr-TR"/>
              </w:rPr>
              <w:t xml:space="preserve"> alandaki tesislerin kötüye kullanılması ve meşru menfaatlere zarar verilmesi için son derece karmaşık fırsatlar sunan bu teknolojik gelişmeleri takip etmelidir.</w:t>
            </w:r>
            <w:r w:rsidR="00151E6A" w:rsidRPr="009A7633">
              <w:rPr>
                <w:rFonts w:ascii="Verdana" w:eastAsia="Times New Roman" w:hAnsi="Verdana"/>
                <w:noProof/>
                <w:lang w:val="tr-TR"/>
              </w:rPr>
              <w:t xml:space="preserve"> </w:t>
            </w:r>
            <w:r w:rsidR="00EB29B4" w:rsidRPr="009A7633">
              <w:rPr>
                <w:rFonts w:ascii="Verdana" w:eastAsia="Times New Roman" w:hAnsi="Verdana"/>
                <w:noProof/>
                <w:lang w:val="tr-TR"/>
              </w:rPr>
              <w:t>Bilgi ağlarının sınır ötesi niteliği göz önüne alındığında, bu tür kötüye kullanımla başa çıkmak için uyumlu bir uluslararası çaba gerekmektedir.</w:t>
            </w:r>
            <w:r w:rsidR="00151E6A" w:rsidRPr="009A7633">
              <w:rPr>
                <w:rFonts w:ascii="Verdana" w:eastAsia="Times New Roman" w:hAnsi="Verdana"/>
                <w:noProof/>
                <w:lang w:val="tr-TR"/>
              </w:rPr>
              <w:t xml:space="preserve"> </w:t>
            </w:r>
            <w:r w:rsidR="00EB29B4" w:rsidRPr="009A7633">
              <w:rPr>
                <w:rFonts w:ascii="Verdana" w:eastAsia="Times New Roman" w:hAnsi="Verdana"/>
                <w:noProof/>
                <w:lang w:val="tr-TR"/>
              </w:rPr>
              <w:t>Bu yeni olgulara karşı mücadelede gerekli etkinliği yalnızca bağlayıcı bir uluslararası belge sağlayabilir.</w:t>
            </w:r>
          </w:p>
          <w:p w14:paraId="3AA1187C" w14:textId="77777777" w:rsidR="00151E6A" w:rsidRPr="009A7633" w:rsidRDefault="0074096D" w:rsidP="009A7633">
            <w:pPr>
              <w:pStyle w:val="Subtitle"/>
              <w:spacing w:before="120" w:line="260" w:lineRule="atLeast"/>
              <w:rPr>
                <w:rFonts w:ascii="Verdana" w:eastAsia="Times New Roman" w:hAnsi="Verdana"/>
                <w:noProof/>
                <w:lang w:val="tr-TR"/>
              </w:rPr>
            </w:pPr>
            <w:r w:rsidRPr="009A7633">
              <w:rPr>
                <w:rFonts w:ascii="Verdana" w:eastAsia="Times New Roman" w:hAnsi="Verdana"/>
                <w:noProof/>
                <w:lang w:val="tr-TR"/>
              </w:rPr>
              <w:t xml:space="preserve">Bu tür bir araç çerçevesinde, uluslararası işbirliği önlemlerine ek olarak, maddi </w:t>
            </w:r>
            <w:r w:rsidRPr="009A7633">
              <w:rPr>
                <w:rFonts w:ascii="Verdana" w:eastAsia="Times New Roman" w:hAnsi="Verdana"/>
                <w:noProof/>
                <w:lang w:val="tr-TR"/>
              </w:rPr>
              <w:lastRenderedPageBreak/>
              <w:t>ve usul hukukuna ilişkin sorunların yanı sıra bilgi teknolojisinin kullanımıyla karmaşık bir şekilde bağlantılı konulara da değinilmelidir.</w:t>
            </w:r>
          </w:p>
        </w:tc>
      </w:tr>
      <w:tr w:rsidR="00F1574D" w:rsidRPr="009A7633" w14:paraId="05624C61" w14:textId="77777777" w:rsidTr="009A7633">
        <w:trPr>
          <w:trHeight w:val="890"/>
        </w:trPr>
        <w:tc>
          <w:tcPr>
            <w:tcW w:w="1525" w:type="dxa"/>
            <w:vAlign w:val="center"/>
          </w:tcPr>
          <w:p w14:paraId="7E97AA57" w14:textId="77777777" w:rsidR="00556D69" w:rsidRPr="009A7633" w:rsidRDefault="005D7794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lastRenderedPageBreak/>
              <w:t>1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3</w:t>
            </w:r>
            <w:r w:rsidR="00CF216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-</w:t>
            </w:r>
            <w:r w:rsidR="00844FBF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1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9</w:t>
            </w:r>
          </w:p>
        </w:tc>
        <w:tc>
          <w:tcPr>
            <w:tcW w:w="7485" w:type="dxa"/>
            <w:gridSpan w:val="2"/>
            <w:vAlign w:val="center"/>
          </w:tcPr>
          <w:p w14:paraId="1B6ED15B" w14:textId="77777777" w:rsidR="00450007" w:rsidRPr="009A7633" w:rsidRDefault="00881C65" w:rsidP="009A7633">
            <w:pPr>
              <w:pStyle w:val="Subtitle"/>
              <w:spacing w:before="120" w:line="260" w:lineRule="atLeast"/>
              <w:rPr>
                <w:rFonts w:ascii="Verdana" w:eastAsia="Times New Roman" w:hAnsi="Verdana"/>
                <w:noProof/>
                <w:lang w:val="tr-TR"/>
              </w:rPr>
            </w:pPr>
            <w:r w:rsidRPr="009A7633">
              <w:rPr>
                <w:rFonts w:ascii="Verdana" w:eastAsia="Times New Roman" w:hAnsi="Verdana"/>
                <w:noProof/>
                <w:lang w:val="tr-TR"/>
              </w:rPr>
              <w:t xml:space="preserve">Bu slaytlar, Budapeşte </w:t>
            </w:r>
            <w:r w:rsidR="003A4051" w:rsidRPr="009A7633">
              <w:rPr>
                <w:rFonts w:ascii="Verdana" w:eastAsia="Times New Roman" w:hAnsi="Verdana"/>
                <w:noProof/>
                <w:lang w:val="tr-TR"/>
              </w:rPr>
              <w:t xml:space="preserve">Sözleşmesi </w:t>
            </w:r>
            <w:r w:rsidRPr="009A7633">
              <w:rPr>
                <w:rFonts w:ascii="Verdana" w:eastAsia="Times New Roman" w:hAnsi="Verdana"/>
                <w:noProof/>
                <w:lang w:val="tr-TR"/>
              </w:rPr>
              <w:t xml:space="preserve">tarafından belirlenen uluslararası işbirliğine ilişkin standartları ve Avrupa Konseyi </w:t>
            </w:r>
            <w:r w:rsidR="003A4051" w:rsidRPr="009A7633">
              <w:rPr>
                <w:rFonts w:ascii="Verdana" w:eastAsia="Times New Roman" w:hAnsi="Verdana"/>
                <w:noProof/>
                <w:lang w:val="tr-TR"/>
              </w:rPr>
              <w:t>Siber Suçlar Sözleşme (</w:t>
            </w:r>
            <w:r w:rsidRPr="009A7633">
              <w:rPr>
                <w:rFonts w:ascii="Verdana" w:eastAsia="Times New Roman" w:hAnsi="Verdana"/>
                <w:noProof/>
                <w:lang w:val="tr-TR"/>
              </w:rPr>
              <w:t>T-CY</w:t>
            </w:r>
            <w:r w:rsidR="003A4051" w:rsidRPr="009A7633">
              <w:rPr>
                <w:rFonts w:ascii="Verdana" w:eastAsia="Times New Roman" w:hAnsi="Verdana"/>
                <w:noProof/>
                <w:lang w:val="tr-TR"/>
              </w:rPr>
              <w:t>)</w:t>
            </w:r>
            <w:r w:rsidRPr="009A7633">
              <w:rPr>
                <w:rFonts w:ascii="Verdana" w:eastAsia="Times New Roman" w:hAnsi="Verdana"/>
                <w:noProof/>
                <w:lang w:val="tr-TR"/>
              </w:rPr>
              <w:t xml:space="preserve"> Komitesi bünyesindeki Protokol Taslağı Oluşturma Grubu'nun Budapeşte </w:t>
            </w:r>
            <w:r w:rsidR="003A4051" w:rsidRPr="009A7633">
              <w:rPr>
                <w:rFonts w:ascii="Verdana" w:eastAsia="Times New Roman" w:hAnsi="Verdana"/>
                <w:noProof/>
                <w:lang w:val="tr-TR"/>
              </w:rPr>
              <w:t xml:space="preserve">Sözleşmesine </w:t>
            </w:r>
            <w:r w:rsidRPr="009A7633">
              <w:rPr>
                <w:rFonts w:ascii="Verdana" w:eastAsia="Times New Roman" w:hAnsi="Verdana"/>
                <w:noProof/>
                <w:lang w:val="tr-TR"/>
              </w:rPr>
              <w:t>dair İkinci Ek Protokol'e ilişkin çalışmalarının kapsamını sunmaktadır.</w:t>
            </w:r>
          </w:p>
        </w:tc>
      </w:tr>
      <w:tr w:rsidR="00F1574D" w:rsidRPr="009A7633" w14:paraId="50F38D34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2718E12F" w14:textId="77777777" w:rsidR="00F1574D" w:rsidRPr="009A7633" w:rsidRDefault="00CF2169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20 -</w:t>
            </w:r>
            <w:r w:rsidR="003F6587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5D7794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2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3</w:t>
            </w:r>
          </w:p>
        </w:tc>
        <w:tc>
          <w:tcPr>
            <w:tcW w:w="7485" w:type="dxa"/>
            <w:gridSpan w:val="2"/>
            <w:vAlign w:val="center"/>
          </w:tcPr>
          <w:p w14:paraId="0083878B" w14:textId="77777777" w:rsidR="00556D69" w:rsidRPr="009A7633" w:rsidRDefault="00881C65" w:rsidP="009A7633">
            <w:p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Bu slaytlar, Budapeşte Sözleşmesi ve diğer ilgili kaynaklarla birlikte 1959 Ceza İşlerinde Karşılıklı </w:t>
            </w:r>
            <w:r w:rsidR="003A4051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Yardım </w:t>
            </w:r>
            <w:r w:rsidR="003743C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Avrupa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Sözleşmesi ve ek protokoller</w:t>
            </w:r>
            <w:r w:rsidR="003743C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i örneği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temelinde iletişim kanallarını sunmaktadır.</w:t>
            </w:r>
            <w:r w:rsidR="005D7794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</w:p>
        </w:tc>
      </w:tr>
      <w:tr w:rsidR="00F1574D" w:rsidRPr="009A7633" w14:paraId="08C04F11" w14:textId="77777777" w:rsidTr="00F1574D">
        <w:trPr>
          <w:trHeight w:val="1295"/>
        </w:trPr>
        <w:tc>
          <w:tcPr>
            <w:tcW w:w="1525" w:type="dxa"/>
            <w:vAlign w:val="center"/>
          </w:tcPr>
          <w:p w14:paraId="2A7CD617" w14:textId="77777777" w:rsidR="00F1574D" w:rsidRPr="009A7633" w:rsidRDefault="005D7794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2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4</w:t>
            </w:r>
            <w:r w:rsidR="00CF216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-</w:t>
            </w:r>
            <w:r w:rsidR="003F6587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32</w:t>
            </w:r>
          </w:p>
        </w:tc>
        <w:tc>
          <w:tcPr>
            <w:tcW w:w="7485" w:type="dxa"/>
            <w:gridSpan w:val="2"/>
            <w:vAlign w:val="center"/>
          </w:tcPr>
          <w:p w14:paraId="122DF944" w14:textId="77777777" w:rsidR="00556D69" w:rsidRPr="009A7633" w:rsidRDefault="000C2F59" w:rsidP="009A7633">
            <w:p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Bu slaytlar, daha önce bahsedilen Uluslararası anlaşmalara dayanan Karşılıklı </w:t>
            </w:r>
            <w:r w:rsidR="003743C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Yardım Talebi için yasal gereklilikleri sunmaktadır. Tüm slaytlar ayrıntılı açıklayıcı notlara sahiptir.</w:t>
            </w:r>
          </w:p>
        </w:tc>
      </w:tr>
      <w:tr w:rsidR="00F1574D" w:rsidRPr="009A7633" w14:paraId="5645E417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4A5FCD7" w14:textId="77777777" w:rsidR="00F1574D" w:rsidRPr="009A7633" w:rsidRDefault="00FE15D2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33</w:t>
            </w:r>
            <w:r w:rsidR="00CF216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-</w:t>
            </w:r>
            <w:r w:rsidR="006527C6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5D7794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3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7</w:t>
            </w:r>
          </w:p>
        </w:tc>
        <w:tc>
          <w:tcPr>
            <w:tcW w:w="7485" w:type="dxa"/>
            <w:gridSpan w:val="2"/>
            <w:vAlign w:val="center"/>
          </w:tcPr>
          <w:p w14:paraId="7EE1B0BF" w14:textId="77777777" w:rsidR="005F709E" w:rsidRPr="009A7633" w:rsidRDefault="000E5FFA" w:rsidP="009A7633">
            <w:pPr>
              <w:pStyle w:val="Subtitle"/>
              <w:spacing w:before="120" w:line="260" w:lineRule="atLeast"/>
              <w:rPr>
                <w:rFonts w:ascii="Verdana" w:hAnsi="Verdana"/>
                <w:noProof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Cs w:val="18"/>
                <w:lang w:val="tr-TR"/>
              </w:rPr>
              <w:t xml:space="preserve">Bu slaytlar, sorular şeklinde </w:t>
            </w:r>
            <w:r w:rsidR="00C71290" w:rsidRPr="009A7633">
              <w:rPr>
                <w:rFonts w:ascii="Verdana" w:hAnsi="Verdana"/>
                <w:noProof/>
                <w:szCs w:val="18"/>
                <w:lang w:val="tr-TR"/>
              </w:rPr>
              <w:t xml:space="preserve">sunulmuş olan </w:t>
            </w:r>
            <w:r w:rsidRPr="009A7633">
              <w:rPr>
                <w:rFonts w:ascii="Verdana" w:hAnsi="Verdana"/>
                <w:noProof/>
                <w:szCs w:val="18"/>
                <w:lang w:val="tr-TR"/>
              </w:rPr>
              <w:t xml:space="preserve">hususları kapsamaktadır. Cevaplar, karşılıklı </w:t>
            </w:r>
            <w:r w:rsidR="00C71290" w:rsidRPr="009A7633">
              <w:rPr>
                <w:rFonts w:ascii="Verdana" w:hAnsi="Verdana"/>
                <w:noProof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hAnsi="Verdana"/>
                <w:noProof/>
                <w:szCs w:val="18"/>
                <w:lang w:val="tr-TR"/>
              </w:rPr>
              <w:t>yardıma ve özel durum değerlendirmelerine ilişkin ülkenin yerel ve uluslararası yasal çerçevesine bağlıdır.</w:t>
            </w:r>
            <w:r w:rsidR="005F709E" w:rsidRPr="009A7633">
              <w:rPr>
                <w:rFonts w:ascii="Verdana" w:hAnsi="Verdana"/>
                <w:noProof/>
                <w:szCs w:val="18"/>
                <w:lang w:val="tr-TR"/>
              </w:rPr>
              <w:t xml:space="preserve"> </w:t>
            </w:r>
            <w:r w:rsidR="0074096D" w:rsidRPr="009A7633">
              <w:rPr>
                <w:rFonts w:ascii="Verdana" w:hAnsi="Verdana"/>
                <w:noProof/>
                <w:szCs w:val="18"/>
                <w:lang w:val="tr-TR"/>
              </w:rPr>
              <w:t>Ayrıca, hem davaya doğrudan dahil olan hem de uluslararası işbirliği düzeyinde</w:t>
            </w:r>
            <w:r w:rsidR="00C71290" w:rsidRPr="009A7633">
              <w:rPr>
                <w:rFonts w:ascii="Verdana" w:eastAsiaTheme="minorHAnsi" w:hAnsi="Verdana" w:cstheme="minorBidi"/>
                <w:iCs w:val="0"/>
                <w:noProof/>
                <w:color w:val="auto"/>
                <w:sz w:val="24"/>
                <w:szCs w:val="18"/>
                <w:lang w:val="tr-TR"/>
              </w:rPr>
              <w:t xml:space="preserve"> </w:t>
            </w:r>
            <w:r w:rsidR="00C71290" w:rsidRPr="009A7633">
              <w:rPr>
                <w:rFonts w:ascii="Verdana" w:hAnsi="Verdana"/>
                <w:noProof/>
                <w:szCs w:val="18"/>
                <w:lang w:val="tr-TR"/>
              </w:rPr>
              <w:t xml:space="preserve">talepte bulunan taraftaki </w:t>
            </w:r>
            <w:r w:rsidR="0074096D" w:rsidRPr="009A7633">
              <w:rPr>
                <w:rFonts w:ascii="Verdana" w:hAnsi="Verdana"/>
                <w:noProof/>
                <w:szCs w:val="18"/>
                <w:lang w:val="tr-TR"/>
              </w:rPr>
              <w:t>yetkili makamların organizasyonuna ve düzenine bağlıdır.</w:t>
            </w:r>
            <w:r w:rsidR="005F709E" w:rsidRPr="009A7633">
              <w:rPr>
                <w:rFonts w:ascii="Verdana" w:hAnsi="Verdana"/>
                <w:noProof/>
                <w:szCs w:val="18"/>
                <w:lang w:val="tr-TR"/>
              </w:rPr>
              <w:t xml:space="preserve"> </w:t>
            </w:r>
          </w:p>
          <w:p w14:paraId="372D0C84" w14:textId="378A6D2E" w:rsidR="00AB07AA" w:rsidRPr="009A7633" w:rsidRDefault="009F30DD" w:rsidP="009A7633">
            <w:pPr>
              <w:pStyle w:val="Subtitle"/>
              <w:spacing w:before="120" w:line="260" w:lineRule="atLeast"/>
              <w:rPr>
                <w:rFonts w:ascii="Verdana" w:hAnsi="Verdana"/>
                <w:noProof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Cs w:val="18"/>
                <w:lang w:val="tr-TR"/>
              </w:rPr>
              <w:t xml:space="preserve">Genel bir kural olarak, hızlandırılmış karşılıklı </w:t>
            </w:r>
            <w:r w:rsidR="00C71290" w:rsidRPr="009A7633">
              <w:rPr>
                <w:rFonts w:ascii="Verdana" w:hAnsi="Verdana"/>
                <w:noProof/>
                <w:szCs w:val="18"/>
                <w:lang w:val="tr-TR"/>
              </w:rPr>
              <w:t xml:space="preserve">adli </w:t>
            </w:r>
            <w:r w:rsidRPr="009A7633">
              <w:rPr>
                <w:rFonts w:ascii="Verdana" w:hAnsi="Verdana"/>
                <w:noProof/>
                <w:szCs w:val="18"/>
                <w:lang w:val="tr-TR"/>
              </w:rPr>
              <w:t>yardımın ihtiyaçlarına göre uyarlanmış yasal çerçeveyi kullanan daha uzman ve deneyimli yetkililer daha iyi ve daha hızlı sonuçlar elde edecektir.</w:t>
            </w:r>
          </w:p>
        </w:tc>
      </w:tr>
      <w:tr w:rsidR="00F1574D" w:rsidRPr="009A7633" w14:paraId="2C7F5908" w14:textId="77777777" w:rsidTr="00F1574D">
        <w:trPr>
          <w:trHeight w:val="1169"/>
        </w:trPr>
        <w:tc>
          <w:tcPr>
            <w:tcW w:w="1525" w:type="dxa"/>
            <w:vAlign w:val="center"/>
          </w:tcPr>
          <w:p w14:paraId="524C32C7" w14:textId="77777777" w:rsidR="00F1574D" w:rsidRPr="009A7633" w:rsidRDefault="005F709E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3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8</w:t>
            </w:r>
            <w:r w:rsidR="00CF216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-</w:t>
            </w:r>
            <w:r w:rsidR="006527C6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43</w:t>
            </w:r>
          </w:p>
        </w:tc>
        <w:tc>
          <w:tcPr>
            <w:tcW w:w="7485" w:type="dxa"/>
            <w:gridSpan w:val="2"/>
            <w:vAlign w:val="center"/>
          </w:tcPr>
          <w:p w14:paraId="5044CFC3" w14:textId="77777777" w:rsidR="005F709E" w:rsidRPr="009A7633" w:rsidRDefault="00C3459D" w:rsidP="009A7633">
            <w:pPr>
              <w:pStyle w:val="Subtitle"/>
              <w:spacing w:before="120" w:line="260" w:lineRule="atLeast"/>
              <w:rPr>
                <w:rFonts w:ascii="Verdana" w:hAnsi="Verdana"/>
                <w:noProof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Cs w:val="18"/>
                <w:lang w:val="tr-TR"/>
              </w:rPr>
              <w:t>Bu slaytlar</w:t>
            </w:r>
            <w:r w:rsidR="005F709E" w:rsidRPr="009A7633">
              <w:rPr>
                <w:rFonts w:ascii="Verdana" w:hAnsi="Verdana"/>
                <w:noProof/>
                <w:szCs w:val="18"/>
                <w:lang w:val="tr-TR"/>
              </w:rPr>
              <w:t xml:space="preserve"> </w:t>
            </w:r>
            <w:r w:rsidRPr="009A7633">
              <w:rPr>
                <w:rFonts w:ascii="Verdana" w:hAnsi="Verdana" w:cs="Arial"/>
                <w:noProof/>
                <w:szCs w:val="18"/>
                <w:lang w:val="tr-TR"/>
              </w:rPr>
              <w:t xml:space="preserve">Avrupa Konseyi tarafından MLA ve diğer hükümlerin, tavsiyelerin ve mevcut destek araçlarının değerlendirilmesini içerir. </w:t>
            </w:r>
          </w:p>
          <w:p w14:paraId="7AE35303" w14:textId="77777777" w:rsidR="005F709E" w:rsidRPr="009A7633" w:rsidRDefault="00333797" w:rsidP="009A7633">
            <w:pPr>
              <w:pStyle w:val="Subtitle"/>
              <w:spacing w:before="120" w:line="260" w:lineRule="atLeast"/>
              <w:rPr>
                <w:rFonts w:ascii="Verdana" w:hAnsi="Verdana"/>
                <w:noProof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Cs w:val="18"/>
                <w:lang w:val="tr-TR"/>
              </w:rPr>
              <w:t xml:space="preserve">Bu sebepten, </w:t>
            </w:r>
            <w:r w:rsidR="009F30DD" w:rsidRPr="009A7633">
              <w:rPr>
                <w:rFonts w:ascii="Verdana" w:hAnsi="Verdana"/>
                <w:noProof/>
                <w:szCs w:val="18"/>
                <w:lang w:val="tr-TR"/>
              </w:rPr>
              <w:t xml:space="preserve">Siber Suçlar </w:t>
            </w:r>
            <w:r w:rsidR="001D0FE1" w:rsidRPr="009A7633">
              <w:rPr>
                <w:rFonts w:ascii="Verdana" w:hAnsi="Verdana"/>
                <w:noProof/>
                <w:szCs w:val="18"/>
                <w:lang w:val="tr-TR"/>
              </w:rPr>
              <w:t xml:space="preserve"> Sözleşme </w:t>
            </w:r>
            <w:r w:rsidR="009F30DD" w:rsidRPr="009A7633">
              <w:rPr>
                <w:rFonts w:ascii="Verdana" w:hAnsi="Verdana"/>
                <w:noProof/>
                <w:szCs w:val="18"/>
                <w:lang w:val="tr-TR"/>
              </w:rPr>
              <w:t>Komitesi (T-CY), 8. Genel Kurulunda (5-6 Aralık 2012), 2013 yılında Budapeşte Siber Suç Sözleşmesi'nin III. Bölümünün bazı uluslararası işbirliği hükümlerinin etkinliğini değerlendirmeye karar ver</w:t>
            </w:r>
            <w:r w:rsidRPr="009A7633">
              <w:rPr>
                <w:rFonts w:ascii="Verdana" w:hAnsi="Verdana"/>
                <w:noProof/>
                <w:szCs w:val="18"/>
                <w:lang w:val="tr-TR"/>
              </w:rPr>
              <w:t>miştir</w:t>
            </w:r>
            <w:r w:rsidR="009F30DD" w:rsidRPr="009A7633">
              <w:rPr>
                <w:rFonts w:ascii="Verdana" w:hAnsi="Verdana"/>
                <w:noProof/>
                <w:szCs w:val="18"/>
                <w:lang w:val="tr-TR"/>
              </w:rPr>
              <w:t>.</w:t>
            </w:r>
            <w:r w:rsidR="005F709E" w:rsidRPr="009A7633">
              <w:rPr>
                <w:rFonts w:ascii="Verdana" w:hAnsi="Verdana"/>
                <w:noProof/>
                <w:szCs w:val="18"/>
                <w:lang w:val="tr-TR"/>
              </w:rPr>
              <w:t xml:space="preserve"> </w:t>
            </w:r>
          </w:p>
          <w:p w14:paraId="7DF49EDC" w14:textId="77777777" w:rsidR="005F709E" w:rsidRPr="009A7633" w:rsidRDefault="009F30DD" w:rsidP="009A7633">
            <w:pPr>
              <w:pStyle w:val="Subtitle"/>
              <w:spacing w:before="120" w:line="260" w:lineRule="atLeast"/>
              <w:rPr>
                <w:rFonts w:ascii="Verdana" w:hAnsi="Verdana"/>
                <w:noProof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Cs w:val="18"/>
                <w:lang w:val="tr-TR"/>
              </w:rPr>
              <w:t>Slaytlar ayrıntılı açıklayıcı notlara sahiptir.</w:t>
            </w:r>
          </w:p>
        </w:tc>
      </w:tr>
      <w:tr w:rsidR="00F1574D" w:rsidRPr="009A7633" w14:paraId="75507850" w14:textId="77777777" w:rsidTr="00F1574D">
        <w:trPr>
          <w:trHeight w:val="1313"/>
        </w:trPr>
        <w:tc>
          <w:tcPr>
            <w:tcW w:w="1525" w:type="dxa"/>
            <w:vAlign w:val="center"/>
          </w:tcPr>
          <w:p w14:paraId="2C874C2B" w14:textId="77777777" w:rsidR="006527C6" w:rsidRPr="009A7633" w:rsidRDefault="005F709E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4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4</w:t>
            </w:r>
            <w:r w:rsidR="00CF216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-</w:t>
            </w:r>
            <w:r w:rsidR="00A342ED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80315D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5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5</w:t>
            </w:r>
          </w:p>
          <w:p w14:paraId="5D81D34E" w14:textId="77777777" w:rsidR="00F1574D" w:rsidRPr="009A7633" w:rsidRDefault="00F1574D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</w:p>
        </w:tc>
        <w:tc>
          <w:tcPr>
            <w:tcW w:w="7485" w:type="dxa"/>
            <w:gridSpan w:val="2"/>
            <w:vAlign w:val="center"/>
          </w:tcPr>
          <w:p w14:paraId="58942E54" w14:textId="77777777" w:rsidR="00CF2169" w:rsidRPr="009A7633" w:rsidRDefault="00CF2169" w:rsidP="009A7633">
            <w:pPr>
              <w:spacing w:before="120" w:after="120" w:line="260" w:lineRule="atLeast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Bu slaytlar, değerlendirme raporunun önerilerini sunmaktadır.</w:t>
            </w:r>
          </w:p>
          <w:p w14:paraId="47C221EF" w14:textId="77777777" w:rsidR="005F709E" w:rsidRPr="009A7633" w:rsidRDefault="00CF2169" w:rsidP="009A7633">
            <w:pPr>
              <w:spacing w:before="120" w:after="120" w:line="260" w:lineRule="atLeast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Öneriler dört gruba ayrılır:</w:t>
            </w:r>
          </w:p>
          <w:p w14:paraId="7D9CAA5B" w14:textId="77777777" w:rsidR="005F709E" w:rsidRPr="009A7633" w:rsidRDefault="00CF2169" w:rsidP="009A7633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Öncelikli olarak yerel makamların sorumluluğunda olan öneriler</w:t>
            </w:r>
          </w:p>
          <w:p w14:paraId="7E4071C5" w14:textId="77777777" w:rsidR="005F709E" w:rsidRPr="009A7633" w:rsidRDefault="00CF2169" w:rsidP="009A7633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Öncelikli olarak 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Siber Suçlar Komitesinin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sorumluluğunda olan öneriler</w:t>
            </w:r>
          </w:p>
          <w:p w14:paraId="09599791" w14:textId="77777777" w:rsidR="005F709E" w:rsidRPr="009A7633" w:rsidRDefault="00CF2169" w:rsidP="009A7633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Öncelikli olarak Avrupa Konseyi kapasite geliştirme projelerinin sorumluluğunda olan öneriler</w:t>
            </w:r>
          </w:p>
          <w:p w14:paraId="4D185909" w14:textId="77777777" w:rsidR="005F709E" w:rsidRPr="009A7633" w:rsidRDefault="00CF2169" w:rsidP="009A7633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Budapeşte Siber Suç Sözleşmesi Ek 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bir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Protokol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u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yoluyla ele alınması gerekebilecek öneriler</w:t>
            </w:r>
          </w:p>
          <w:p w14:paraId="3A1C936C" w14:textId="77777777" w:rsidR="006527C6" w:rsidRPr="009A7633" w:rsidRDefault="00CF2169" w:rsidP="009A7633">
            <w:p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Destekleyici araç bağlantıları, teknik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koşullar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karşılandığı takdirde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eğit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ici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ve 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katılımcılar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tarafından takip edilebilen etkin köprülerle sunulur.</w:t>
            </w:r>
          </w:p>
        </w:tc>
      </w:tr>
      <w:tr w:rsidR="005F709E" w:rsidRPr="009A7633" w14:paraId="7113FDCC" w14:textId="77777777" w:rsidTr="009A7633">
        <w:trPr>
          <w:trHeight w:val="350"/>
        </w:trPr>
        <w:tc>
          <w:tcPr>
            <w:tcW w:w="1525" w:type="dxa"/>
            <w:vAlign w:val="center"/>
          </w:tcPr>
          <w:p w14:paraId="2B248C5A" w14:textId="77777777" w:rsidR="005F709E" w:rsidRPr="009A7633" w:rsidRDefault="005F709E" w:rsidP="009A7633">
            <w:pPr>
              <w:spacing w:before="120" w:after="120" w:line="260" w:lineRule="atLeast"/>
              <w:jc w:val="center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5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6</w:t>
            </w:r>
            <w:r w:rsidR="00CF2169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-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5</w:t>
            </w:r>
            <w:r w:rsidR="00FE15D2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8</w:t>
            </w:r>
          </w:p>
        </w:tc>
        <w:tc>
          <w:tcPr>
            <w:tcW w:w="7485" w:type="dxa"/>
            <w:gridSpan w:val="2"/>
            <w:vAlign w:val="center"/>
          </w:tcPr>
          <w:p w14:paraId="342912C4" w14:textId="77777777" w:rsidR="005F709E" w:rsidRPr="009A7633" w:rsidRDefault="00881C65" w:rsidP="009A7633">
            <w:p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Son slaytlar, eğiticinin öğrenme hedeflerini 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katılımcılarla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birlikte gözden geçirmesine ve böylece bu hedeflere ulaşıldığından emin olmasına olanak tanır. Ayrıca, bu bölüm </w:t>
            </w:r>
            <w:r w:rsidR="00ED3EF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katılımcılar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için çözülmemiş veya tam olarak anlaşılmamış konularla alakalı sorunları dile getirmeleri için bir fırsattır.</w:t>
            </w:r>
            <w:r w:rsidR="005F709E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 </w:t>
            </w:r>
          </w:p>
          <w:p w14:paraId="26C1BA47" w14:textId="77777777" w:rsidR="005F709E" w:rsidRPr="009A7633" w:rsidRDefault="00ED3EFE" w:rsidP="009A7633">
            <w:pPr>
              <w:spacing w:before="120" w:after="120" w:line="260" w:lineRule="atLeast"/>
              <w:jc w:val="both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Buna e</w:t>
            </w:r>
            <w:r w:rsidR="000E5FF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k olarak, eğit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ici oturumu</w:t>
            </w:r>
            <w:r w:rsidR="000E5FF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, katılımcılara sorular sorarak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bilgilerini ölçmek için de</w:t>
            </w:r>
            <w:r w:rsidR="000E5FF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 kullanabilir.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Bu ders </w:t>
            </w:r>
            <w:r w:rsidR="000E5FF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için resmi bir değerlendirme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yapılmayacağından </w:t>
            </w:r>
            <w:r w:rsidR="000E5FF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 xml:space="preserve">bu </w:t>
            </w:r>
            <w:r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lastRenderedPageBreak/>
              <w:t xml:space="preserve">ölçüm </w:t>
            </w:r>
            <w:r w:rsidR="000E5FFA" w:rsidRPr="009A7633">
              <w:rPr>
                <w:rFonts w:ascii="Verdana" w:hAnsi="Verdana"/>
                <w:noProof/>
                <w:sz w:val="18"/>
                <w:szCs w:val="18"/>
                <w:lang w:val="tr-TR"/>
              </w:rPr>
              <w:t>önemlidir.</w:t>
            </w:r>
          </w:p>
        </w:tc>
      </w:tr>
      <w:tr w:rsidR="00CB3026" w:rsidRPr="009A7633" w14:paraId="215B8982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26FC6A4E" w14:textId="77777777" w:rsidR="00CB3026" w:rsidRPr="009A7633" w:rsidRDefault="00C731AA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lastRenderedPageBreak/>
              <w:t>Uygulamalı Egzersizler</w:t>
            </w:r>
          </w:p>
          <w:p w14:paraId="3C86FB18" w14:textId="77777777" w:rsidR="00CB3026" w:rsidRPr="009A7633" w:rsidRDefault="00CF2169" w:rsidP="009A7633">
            <w:pPr>
              <w:spacing w:before="120" w:after="120" w:line="260" w:lineRule="atLeast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Bu ders</w:t>
            </w:r>
            <w:r w:rsidR="00E60437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 için</w:t>
            </w: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r w:rsidR="00E60437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uygulamalı egzersiz</w:t>
            </w: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r w:rsidR="00E60437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öngörülmememiştir</w:t>
            </w: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.</w:t>
            </w:r>
          </w:p>
        </w:tc>
      </w:tr>
      <w:tr w:rsidR="00CB3026" w:rsidRPr="009A7633" w14:paraId="4D5B8A4E" w14:textId="77777777" w:rsidTr="00F1574D">
        <w:tc>
          <w:tcPr>
            <w:tcW w:w="9010" w:type="dxa"/>
            <w:gridSpan w:val="3"/>
            <w:vAlign w:val="center"/>
          </w:tcPr>
          <w:p w14:paraId="4FB70622" w14:textId="77777777" w:rsidR="00CB3026" w:rsidRPr="009A7633" w:rsidRDefault="00CF2169" w:rsidP="009A7633">
            <w:pPr>
              <w:spacing w:before="120" w:after="120" w:line="260" w:lineRule="atLeast"/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</w:pPr>
            <w:r w:rsidRPr="009A7633">
              <w:rPr>
                <w:rFonts w:ascii="Verdana" w:hAnsi="Verdana"/>
                <w:b/>
                <w:noProof/>
                <w:sz w:val="22"/>
                <w:szCs w:val="22"/>
                <w:lang w:val="tr-TR"/>
              </w:rPr>
              <w:t>Değerlendirme / Bilgi Kontrolü</w:t>
            </w:r>
          </w:p>
          <w:p w14:paraId="3B733240" w14:textId="77777777" w:rsidR="00CB3026" w:rsidRPr="009A7633" w:rsidRDefault="00CF2169" w:rsidP="009A7633">
            <w:pPr>
              <w:spacing w:before="120" w:after="120" w:line="260" w:lineRule="atLeast"/>
              <w:rPr>
                <w:rFonts w:ascii="Verdana" w:hAnsi="Verdana"/>
                <w:noProof/>
                <w:sz w:val="18"/>
                <w:szCs w:val="18"/>
                <w:lang w:val="tr-TR"/>
              </w:rPr>
            </w:pP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 xml:space="preserve">Bu oturum için bilgi kontrolü veya değerlendirme </w:t>
            </w:r>
            <w:r w:rsidR="00E60437"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istenmemiştir</w:t>
            </w:r>
            <w:r w:rsidRPr="009A7633">
              <w:rPr>
                <w:rFonts w:ascii="Verdana" w:hAnsi="Verdana"/>
                <w:noProof/>
                <w:color w:val="000000" w:themeColor="text1"/>
                <w:sz w:val="18"/>
                <w:szCs w:val="18"/>
                <w:lang w:val="tr-TR"/>
              </w:rPr>
              <w:t>.</w:t>
            </w:r>
          </w:p>
        </w:tc>
      </w:tr>
    </w:tbl>
    <w:p w14:paraId="4BD5AFFF" w14:textId="77777777" w:rsidR="00D82C18" w:rsidRPr="009A7633" w:rsidRDefault="00D82C18" w:rsidP="009A7633">
      <w:pPr>
        <w:spacing w:before="120" w:after="120" w:line="260" w:lineRule="atLeast"/>
        <w:rPr>
          <w:rFonts w:ascii="Verdana" w:hAnsi="Verdana"/>
          <w:noProof/>
          <w:lang w:val="tr-TR"/>
        </w:rPr>
      </w:pPr>
    </w:p>
    <w:sectPr w:rsidR="00D82C18" w:rsidRPr="009A7633" w:rsidSect="00F1574D"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A701041"/>
    <w:multiLevelType w:val="hybridMultilevel"/>
    <w:tmpl w:val="74B491D4"/>
    <w:lvl w:ilvl="0" w:tplc="13CE29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BC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22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2B6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AE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E00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E0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45D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C3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2030"/>
    <w:multiLevelType w:val="hybridMultilevel"/>
    <w:tmpl w:val="2ABAA646"/>
    <w:lvl w:ilvl="0" w:tplc="76E0E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E9B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8243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E2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4E2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62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39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8A6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25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75E0"/>
    <w:multiLevelType w:val="hybridMultilevel"/>
    <w:tmpl w:val="BA6E84EA"/>
    <w:lvl w:ilvl="0" w:tplc="676AC7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AF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2E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C7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1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4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CC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B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E10C7"/>
    <w:multiLevelType w:val="hybridMultilevel"/>
    <w:tmpl w:val="AADA1F4A"/>
    <w:lvl w:ilvl="0" w:tplc="BB206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0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F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07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AE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A8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C02A6"/>
    <w:multiLevelType w:val="hybridMultilevel"/>
    <w:tmpl w:val="8B0AA106"/>
    <w:lvl w:ilvl="0" w:tplc="E69EE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4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4E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4E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4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C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C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4895"/>
    <w:multiLevelType w:val="hybridMultilevel"/>
    <w:tmpl w:val="8F70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22377"/>
    <w:multiLevelType w:val="hybridMultilevel"/>
    <w:tmpl w:val="85B03316"/>
    <w:lvl w:ilvl="0" w:tplc="44DE59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BD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6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A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8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4C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E864AE1"/>
    <w:multiLevelType w:val="hybridMultilevel"/>
    <w:tmpl w:val="E2F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A543A"/>
    <w:multiLevelType w:val="hybridMultilevel"/>
    <w:tmpl w:val="0CDE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19"/>
  </w:num>
  <w:num w:numId="7">
    <w:abstractNumId w:val="5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3"/>
  </w:num>
  <w:num w:numId="11">
    <w:abstractNumId w:val="11"/>
  </w:num>
  <w:num w:numId="12">
    <w:abstractNumId w:val="15"/>
  </w:num>
  <w:num w:numId="13">
    <w:abstractNumId w:val="4"/>
  </w:num>
  <w:num w:numId="14">
    <w:abstractNumId w:val="6"/>
  </w:num>
  <w:num w:numId="15">
    <w:abstractNumId w:val="14"/>
  </w:num>
  <w:num w:numId="16">
    <w:abstractNumId w:val="1"/>
  </w:num>
  <w:num w:numId="17">
    <w:abstractNumId w:val="2"/>
  </w:num>
  <w:num w:numId="18">
    <w:abstractNumId w:val="17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18"/>
    <w:rsid w:val="00006EAD"/>
    <w:rsid w:val="000C2F59"/>
    <w:rsid w:val="000C40EE"/>
    <w:rsid w:val="000E5FFA"/>
    <w:rsid w:val="000F7896"/>
    <w:rsid w:val="00151E6A"/>
    <w:rsid w:val="001D0FE1"/>
    <w:rsid w:val="001D603D"/>
    <w:rsid w:val="002654A6"/>
    <w:rsid w:val="00271010"/>
    <w:rsid w:val="002C571B"/>
    <w:rsid w:val="002D6620"/>
    <w:rsid w:val="002E3ECE"/>
    <w:rsid w:val="002F3B54"/>
    <w:rsid w:val="00333797"/>
    <w:rsid w:val="0034224C"/>
    <w:rsid w:val="00342639"/>
    <w:rsid w:val="003453F7"/>
    <w:rsid w:val="003630ED"/>
    <w:rsid w:val="003743C9"/>
    <w:rsid w:val="003A4051"/>
    <w:rsid w:val="003A435F"/>
    <w:rsid w:val="003F6587"/>
    <w:rsid w:val="00450007"/>
    <w:rsid w:val="00457DD3"/>
    <w:rsid w:val="00463FE7"/>
    <w:rsid w:val="004B7351"/>
    <w:rsid w:val="004D35F1"/>
    <w:rsid w:val="004E2931"/>
    <w:rsid w:val="00554819"/>
    <w:rsid w:val="00556D69"/>
    <w:rsid w:val="005703B7"/>
    <w:rsid w:val="005A4E47"/>
    <w:rsid w:val="005D4432"/>
    <w:rsid w:val="005D7794"/>
    <w:rsid w:val="005F709E"/>
    <w:rsid w:val="006527C6"/>
    <w:rsid w:val="0066096F"/>
    <w:rsid w:val="006B6FDF"/>
    <w:rsid w:val="00735B0B"/>
    <w:rsid w:val="0074096D"/>
    <w:rsid w:val="0075334E"/>
    <w:rsid w:val="007678A6"/>
    <w:rsid w:val="00773F6C"/>
    <w:rsid w:val="0080315D"/>
    <w:rsid w:val="00844FBF"/>
    <w:rsid w:val="0086465F"/>
    <w:rsid w:val="008817F1"/>
    <w:rsid w:val="00881C65"/>
    <w:rsid w:val="008A4C93"/>
    <w:rsid w:val="008E3FE7"/>
    <w:rsid w:val="009116D8"/>
    <w:rsid w:val="00951791"/>
    <w:rsid w:val="009A7633"/>
    <w:rsid w:val="009D1DB1"/>
    <w:rsid w:val="009F30DD"/>
    <w:rsid w:val="009F336B"/>
    <w:rsid w:val="00A03CF0"/>
    <w:rsid w:val="00A342ED"/>
    <w:rsid w:val="00A4110D"/>
    <w:rsid w:val="00A52AD1"/>
    <w:rsid w:val="00A53A89"/>
    <w:rsid w:val="00A734A5"/>
    <w:rsid w:val="00A76996"/>
    <w:rsid w:val="00AA5742"/>
    <w:rsid w:val="00AB07AA"/>
    <w:rsid w:val="00B3608C"/>
    <w:rsid w:val="00B56791"/>
    <w:rsid w:val="00B67F81"/>
    <w:rsid w:val="00BD7897"/>
    <w:rsid w:val="00BE33C7"/>
    <w:rsid w:val="00C115FC"/>
    <w:rsid w:val="00C3459D"/>
    <w:rsid w:val="00C541A2"/>
    <w:rsid w:val="00C617B4"/>
    <w:rsid w:val="00C71290"/>
    <w:rsid w:val="00C731AA"/>
    <w:rsid w:val="00CB02C4"/>
    <w:rsid w:val="00CB3026"/>
    <w:rsid w:val="00CC1F79"/>
    <w:rsid w:val="00CC2222"/>
    <w:rsid w:val="00CF2169"/>
    <w:rsid w:val="00D05EA6"/>
    <w:rsid w:val="00D62E5F"/>
    <w:rsid w:val="00D82C18"/>
    <w:rsid w:val="00E13BE7"/>
    <w:rsid w:val="00E54972"/>
    <w:rsid w:val="00E60437"/>
    <w:rsid w:val="00E7344B"/>
    <w:rsid w:val="00E95703"/>
    <w:rsid w:val="00EB29B4"/>
    <w:rsid w:val="00ED3EFE"/>
    <w:rsid w:val="00EE1E16"/>
    <w:rsid w:val="00F1338F"/>
    <w:rsid w:val="00F1574D"/>
    <w:rsid w:val="00F17F25"/>
    <w:rsid w:val="00F504D6"/>
    <w:rsid w:val="00F62A15"/>
    <w:rsid w:val="00F955B5"/>
    <w:rsid w:val="00FA6132"/>
    <w:rsid w:val="00FB6DE5"/>
    <w:rsid w:val="00FE15D2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0DA1"/>
  <w15:docId w15:val="{EEECC627-D4D9-45E5-99C1-5E1981B8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5F"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2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4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ERENOGLU CONSULTANCY TRANSLATION</dc:creator>
  <cp:keywords/>
  <dc:description>ERENOGLU CONSULTANCY TRANSLATION_x000d_
GSM    : (+90 532) 235 58 23_x000d_
Tel         : (+90 312) 441 91 00 (pbx)_x000d_
Web      : www.erenoglu.com.tr_x000d_
e-mail   : erenoglu@erenoglu.com.tr_x000d_
ANKARA – TURKIYE (TURKEY)_x000d_
</dc:description>
  <cp:lastModifiedBy>CEAUSU Diana</cp:lastModifiedBy>
  <cp:revision>7</cp:revision>
  <dcterms:created xsi:type="dcterms:W3CDTF">2021-04-08T11:12:00Z</dcterms:created>
  <dcterms:modified xsi:type="dcterms:W3CDTF">2021-05-04T12:03:00Z</dcterms:modified>
</cp:coreProperties>
</file>