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5428B" w14:textId="77777777" w:rsidR="00AA7E67" w:rsidRPr="00474D2F" w:rsidRDefault="00AA7E67" w:rsidP="00474D2F">
      <w:pPr>
        <w:spacing w:before="120" w:after="120" w:line="260" w:lineRule="atLeast"/>
        <w:rPr>
          <w:rFonts w:ascii="Verdana" w:hAnsi="Verdana"/>
          <w:b/>
          <w:bCs/>
          <w:sz w:val="28"/>
          <w:szCs w:val="28"/>
          <w:lang w:val="tr-TR"/>
        </w:rPr>
      </w:pPr>
    </w:p>
    <w:p w14:paraId="41369C0C" w14:textId="77777777" w:rsidR="00AA7E67" w:rsidRPr="00474D2F" w:rsidRDefault="00AA7E67" w:rsidP="00474D2F">
      <w:pPr>
        <w:spacing w:before="120" w:after="120" w:line="260" w:lineRule="atLeast"/>
        <w:rPr>
          <w:rFonts w:ascii="Verdana" w:hAnsi="Verdana"/>
          <w:b/>
          <w:bCs/>
          <w:sz w:val="28"/>
          <w:szCs w:val="28"/>
          <w:lang w:val="tr-TR"/>
        </w:rPr>
      </w:pPr>
      <w:r w:rsidRPr="00474D2F">
        <w:rPr>
          <w:rFonts w:ascii="Verdana" w:hAnsi="Verdana"/>
          <w:b/>
          <w:bCs/>
          <w:sz w:val="28"/>
          <w:szCs w:val="28"/>
          <w:lang w:val="tr-TR"/>
        </w:rPr>
        <w:t xml:space="preserve">Ders </w:t>
      </w:r>
      <w:r w:rsidR="0098163B" w:rsidRPr="00474D2F">
        <w:rPr>
          <w:rFonts w:ascii="Verdana" w:hAnsi="Verdana"/>
          <w:b/>
          <w:bCs/>
          <w:sz w:val="28"/>
          <w:szCs w:val="28"/>
          <w:lang w:val="tr-TR"/>
        </w:rPr>
        <w:t xml:space="preserve">2.2 </w:t>
      </w:r>
      <w:r w:rsidRPr="00474D2F">
        <w:rPr>
          <w:rFonts w:ascii="Verdana" w:hAnsi="Verdana"/>
          <w:b/>
          <w:bCs/>
          <w:sz w:val="28"/>
          <w:szCs w:val="28"/>
          <w:lang w:val="tr-TR"/>
        </w:rPr>
        <w:t>Resmi Olmayan Uluslararası İşbirliği Yöntemleri</w:t>
      </w:r>
    </w:p>
    <w:p w14:paraId="670D521F" w14:textId="77777777" w:rsidR="0098163B" w:rsidRPr="00474D2F" w:rsidRDefault="0098163B" w:rsidP="00474D2F">
      <w:pPr>
        <w:spacing w:before="120" w:after="120" w:line="260" w:lineRule="atLeast"/>
        <w:ind w:left="360"/>
        <w:rPr>
          <w:rFonts w:ascii="Verdana" w:hAnsi="Verdana"/>
          <w:lang w:val="tr-TR"/>
        </w:rPr>
      </w:pPr>
    </w:p>
    <w:tbl>
      <w:tblPr>
        <w:tblStyle w:val="TableGrid"/>
        <w:tblW w:w="0" w:type="auto"/>
        <w:tblLayout w:type="fixed"/>
        <w:tblLook w:val="04A0" w:firstRow="1" w:lastRow="0" w:firstColumn="1" w:lastColumn="0" w:noHBand="0" w:noVBand="1"/>
      </w:tblPr>
      <w:tblGrid>
        <w:gridCol w:w="1668"/>
        <w:gridCol w:w="5177"/>
        <w:gridCol w:w="2165"/>
      </w:tblGrid>
      <w:tr w:rsidR="0098163B" w:rsidRPr="00474D2F" w14:paraId="62645E64" w14:textId="77777777" w:rsidTr="001C2AF1">
        <w:trPr>
          <w:trHeight w:val="872"/>
        </w:trPr>
        <w:tc>
          <w:tcPr>
            <w:tcW w:w="6845" w:type="dxa"/>
            <w:gridSpan w:val="2"/>
            <w:shd w:val="clear" w:color="auto" w:fill="D9E2F3" w:themeFill="accent5" w:themeFillTint="33"/>
            <w:vAlign w:val="center"/>
          </w:tcPr>
          <w:p w14:paraId="05146055" w14:textId="77777777" w:rsidR="0098163B" w:rsidRPr="00474D2F" w:rsidRDefault="00AA7E67" w:rsidP="00474D2F">
            <w:pPr>
              <w:spacing w:before="120" w:after="120" w:line="260" w:lineRule="atLeast"/>
              <w:rPr>
                <w:rFonts w:ascii="Verdana" w:hAnsi="Verdana"/>
                <w:sz w:val="22"/>
                <w:szCs w:val="22"/>
                <w:lang w:val="tr-TR"/>
              </w:rPr>
            </w:pPr>
            <w:r w:rsidRPr="00474D2F">
              <w:rPr>
                <w:rFonts w:ascii="Verdana" w:hAnsi="Verdana"/>
                <w:sz w:val="22"/>
                <w:szCs w:val="22"/>
                <w:lang w:val="tr-TR"/>
              </w:rPr>
              <w:t>Ders</w:t>
            </w:r>
            <w:r w:rsidR="0098163B" w:rsidRPr="00474D2F">
              <w:rPr>
                <w:rFonts w:ascii="Verdana" w:hAnsi="Verdana"/>
                <w:sz w:val="22"/>
                <w:szCs w:val="22"/>
                <w:lang w:val="tr-TR"/>
              </w:rPr>
              <w:t xml:space="preserve"> 2.2</w:t>
            </w:r>
            <w:r w:rsidR="0098163B" w:rsidRPr="00474D2F">
              <w:rPr>
                <w:rFonts w:ascii="Verdana" w:hAnsi="Verdana"/>
                <w:color w:val="000000" w:themeColor="text1"/>
                <w:sz w:val="28"/>
                <w:szCs w:val="28"/>
                <w:lang w:val="tr-TR"/>
              </w:rPr>
              <w:t xml:space="preserve"> </w:t>
            </w:r>
            <w:r w:rsidRPr="00474D2F">
              <w:rPr>
                <w:rFonts w:ascii="Verdana" w:hAnsi="Verdana"/>
                <w:color w:val="000000" w:themeColor="text1"/>
                <w:sz w:val="22"/>
                <w:szCs w:val="22"/>
                <w:lang w:val="tr-TR"/>
              </w:rPr>
              <w:t>Resmi Olmayan Uluslararası İşbirliği Yöntemleri</w:t>
            </w:r>
          </w:p>
        </w:tc>
        <w:tc>
          <w:tcPr>
            <w:tcW w:w="2165" w:type="dxa"/>
            <w:shd w:val="clear" w:color="auto" w:fill="D9E2F3" w:themeFill="accent5" w:themeFillTint="33"/>
            <w:vAlign w:val="center"/>
          </w:tcPr>
          <w:p w14:paraId="79C05406" w14:textId="77777777" w:rsidR="0098163B" w:rsidRPr="00474D2F" w:rsidRDefault="00AA7E67" w:rsidP="00474D2F">
            <w:pPr>
              <w:spacing w:before="120" w:after="120" w:line="260" w:lineRule="atLeast"/>
              <w:rPr>
                <w:rFonts w:ascii="Verdana" w:hAnsi="Verdana"/>
                <w:sz w:val="22"/>
                <w:szCs w:val="22"/>
                <w:lang w:val="tr-TR"/>
              </w:rPr>
            </w:pPr>
            <w:r w:rsidRPr="00474D2F">
              <w:rPr>
                <w:rFonts w:ascii="Verdana" w:hAnsi="Verdana"/>
                <w:sz w:val="22"/>
                <w:szCs w:val="22"/>
                <w:lang w:val="tr-TR"/>
              </w:rPr>
              <w:t>Süre</w:t>
            </w:r>
            <w:r w:rsidR="0098163B" w:rsidRPr="00474D2F">
              <w:rPr>
                <w:rFonts w:ascii="Verdana" w:hAnsi="Verdana"/>
                <w:sz w:val="22"/>
                <w:szCs w:val="22"/>
                <w:lang w:val="tr-TR"/>
              </w:rPr>
              <w:t xml:space="preserve">: </w:t>
            </w:r>
            <w:r w:rsidR="0098163B" w:rsidRPr="00474D2F">
              <w:rPr>
                <w:rFonts w:ascii="Verdana" w:hAnsi="Verdana"/>
                <w:color w:val="000000" w:themeColor="text1"/>
                <w:sz w:val="22"/>
                <w:szCs w:val="22"/>
                <w:lang w:val="tr-TR"/>
              </w:rPr>
              <w:t xml:space="preserve">60 </w:t>
            </w:r>
            <w:r w:rsidRPr="00474D2F">
              <w:rPr>
                <w:rFonts w:ascii="Verdana" w:hAnsi="Verdana"/>
                <w:color w:val="000000" w:themeColor="text1"/>
                <w:sz w:val="22"/>
                <w:szCs w:val="22"/>
                <w:lang w:val="tr-TR"/>
              </w:rPr>
              <w:t>dakika</w:t>
            </w:r>
            <w:r w:rsidR="0098163B" w:rsidRPr="00474D2F">
              <w:rPr>
                <w:rFonts w:ascii="Verdana" w:hAnsi="Verdana"/>
                <w:color w:val="000000" w:themeColor="text1"/>
                <w:sz w:val="22"/>
                <w:szCs w:val="22"/>
                <w:lang w:val="tr-TR"/>
              </w:rPr>
              <w:t xml:space="preserve"> </w:t>
            </w:r>
          </w:p>
        </w:tc>
      </w:tr>
      <w:tr w:rsidR="0098163B" w:rsidRPr="00474D2F" w14:paraId="29C57012" w14:textId="77777777" w:rsidTr="001C2AF1">
        <w:trPr>
          <w:trHeight w:val="1376"/>
        </w:trPr>
        <w:tc>
          <w:tcPr>
            <w:tcW w:w="9010" w:type="dxa"/>
            <w:gridSpan w:val="3"/>
            <w:vAlign w:val="center"/>
          </w:tcPr>
          <w:p w14:paraId="3F86180A" w14:textId="77777777" w:rsidR="0098163B" w:rsidRPr="00474D2F" w:rsidRDefault="0061289D" w:rsidP="00474D2F">
            <w:pPr>
              <w:spacing w:before="120" w:after="120" w:line="260" w:lineRule="atLeast"/>
              <w:rPr>
                <w:rFonts w:ascii="Verdana" w:hAnsi="Verdana"/>
                <w:b/>
                <w:sz w:val="22"/>
                <w:szCs w:val="22"/>
                <w:lang w:val="tr-TR"/>
              </w:rPr>
            </w:pPr>
            <w:r w:rsidRPr="00474D2F">
              <w:rPr>
                <w:rFonts w:ascii="Verdana" w:hAnsi="Verdana"/>
                <w:b/>
                <w:sz w:val="22"/>
                <w:szCs w:val="22"/>
                <w:lang w:val="tr-TR"/>
              </w:rPr>
              <w:t>Gerekli Kaynaklar</w:t>
            </w:r>
            <w:r w:rsidR="0098163B" w:rsidRPr="00474D2F">
              <w:rPr>
                <w:rFonts w:ascii="Verdana" w:hAnsi="Verdana"/>
                <w:b/>
                <w:sz w:val="22"/>
                <w:szCs w:val="22"/>
                <w:lang w:val="tr-TR"/>
              </w:rPr>
              <w:t xml:space="preserve">: </w:t>
            </w:r>
          </w:p>
          <w:p w14:paraId="16551F30" w14:textId="36917AEC" w:rsidR="0061289D" w:rsidRPr="00474D2F" w:rsidRDefault="0061289D" w:rsidP="00474D2F">
            <w:pPr>
              <w:pStyle w:val="bul1"/>
              <w:numPr>
                <w:ilvl w:val="0"/>
                <w:numId w:val="1"/>
              </w:numPr>
              <w:spacing w:before="120" w:after="120" w:line="260" w:lineRule="atLeast"/>
              <w:rPr>
                <w:lang w:val="tr-TR"/>
              </w:rPr>
            </w:pPr>
            <w:r w:rsidRPr="00474D2F">
              <w:rPr>
                <w:lang w:val="tr-TR"/>
              </w:rPr>
              <w:t>Hazır</w:t>
            </w:r>
            <w:r w:rsidR="00097689" w:rsidRPr="00474D2F">
              <w:rPr>
                <w:lang w:val="tr-TR"/>
              </w:rPr>
              <w:t>lanan</w:t>
            </w:r>
            <w:r w:rsidRPr="00474D2F">
              <w:rPr>
                <w:lang w:val="tr-TR"/>
              </w:rPr>
              <w:t xml:space="preserve"> materyallerle uyumlu yazılım sürümleri yükl</w:t>
            </w:r>
            <w:r w:rsidR="007144BA" w:rsidRPr="00474D2F">
              <w:rPr>
                <w:lang w:val="tr-TR"/>
              </w:rPr>
              <w:t>enmiş</w:t>
            </w:r>
            <w:r w:rsidRPr="00474D2F">
              <w:rPr>
                <w:lang w:val="tr-TR"/>
              </w:rPr>
              <w:t xml:space="preserve"> </w:t>
            </w:r>
            <w:r w:rsidR="0098163B" w:rsidRPr="00474D2F">
              <w:rPr>
                <w:lang w:val="tr-TR"/>
              </w:rPr>
              <w:t>PC/</w:t>
            </w:r>
            <w:proofErr w:type="spellStart"/>
            <w:r w:rsidR="0061768A" w:rsidRPr="00474D2F">
              <w:t>dizüstü</w:t>
            </w:r>
            <w:proofErr w:type="spellEnd"/>
            <w:r w:rsidR="0061768A" w:rsidRPr="00474D2F">
              <w:t xml:space="preserve"> </w:t>
            </w:r>
            <w:proofErr w:type="spellStart"/>
            <w:r w:rsidR="0061768A" w:rsidRPr="00474D2F">
              <w:t>bilgisayar</w:t>
            </w:r>
            <w:proofErr w:type="spellEnd"/>
            <w:r w:rsidR="0061768A" w:rsidRPr="00474D2F">
              <w:t xml:space="preserve"> (Laptop)</w:t>
            </w:r>
          </w:p>
          <w:p w14:paraId="5A9A28F6" w14:textId="77777777" w:rsidR="0098163B" w:rsidRPr="00474D2F" w:rsidRDefault="00005411" w:rsidP="00474D2F">
            <w:pPr>
              <w:pStyle w:val="bul1"/>
              <w:numPr>
                <w:ilvl w:val="0"/>
                <w:numId w:val="1"/>
              </w:numPr>
              <w:spacing w:before="120" w:after="120" w:line="260" w:lineRule="atLeast"/>
              <w:rPr>
                <w:lang w:val="tr-TR"/>
              </w:rPr>
            </w:pPr>
            <w:r w:rsidRPr="00474D2F">
              <w:rPr>
                <w:rFonts w:eastAsia="Times New Roman"/>
                <w:szCs w:val="22"/>
                <w:lang w:val="tr-TR" w:eastAsia="en-US"/>
              </w:rPr>
              <w:t xml:space="preserve">İnternet erişimi </w:t>
            </w:r>
            <w:r w:rsidR="0098163B" w:rsidRPr="00474D2F">
              <w:rPr>
                <w:lang w:val="tr-TR"/>
              </w:rPr>
              <w:t>(</w:t>
            </w:r>
            <w:r w:rsidRPr="00474D2F">
              <w:rPr>
                <w:lang w:val="tr-TR"/>
              </w:rPr>
              <w:t>mevcutsa</w:t>
            </w:r>
            <w:r w:rsidR="0098163B" w:rsidRPr="00474D2F">
              <w:rPr>
                <w:lang w:val="tr-TR"/>
              </w:rPr>
              <w:t xml:space="preserve">) </w:t>
            </w:r>
          </w:p>
          <w:p w14:paraId="67224BDE" w14:textId="72939F76" w:rsidR="0098163B" w:rsidRPr="00474D2F" w:rsidRDefault="0098163B" w:rsidP="00474D2F">
            <w:pPr>
              <w:pStyle w:val="bul1"/>
              <w:numPr>
                <w:ilvl w:val="0"/>
                <w:numId w:val="1"/>
              </w:numPr>
              <w:spacing w:before="120" w:after="120" w:line="260" w:lineRule="atLeast"/>
              <w:rPr>
                <w:lang w:val="tr-TR"/>
              </w:rPr>
            </w:pPr>
            <w:r w:rsidRPr="00474D2F">
              <w:rPr>
                <w:lang w:val="tr-TR"/>
              </w:rPr>
              <w:t xml:space="preserve">PowerPoint </w:t>
            </w:r>
            <w:r w:rsidR="00005411" w:rsidRPr="00474D2F">
              <w:rPr>
                <w:lang w:val="tr-TR"/>
              </w:rPr>
              <w:t xml:space="preserve">veya </w:t>
            </w:r>
            <w:r w:rsidR="007144BA" w:rsidRPr="00474D2F">
              <w:rPr>
                <w:lang w:val="tr-TR"/>
              </w:rPr>
              <w:t>diğer</w:t>
            </w:r>
            <w:r w:rsidR="00005411" w:rsidRPr="00474D2F">
              <w:rPr>
                <w:lang w:val="tr-TR"/>
              </w:rPr>
              <w:t xml:space="preserve"> sunum yazılım</w:t>
            </w:r>
            <w:r w:rsidR="007144BA" w:rsidRPr="00474D2F">
              <w:rPr>
                <w:lang w:val="tr-TR"/>
              </w:rPr>
              <w:t>ları</w:t>
            </w:r>
            <w:r w:rsidR="00005411" w:rsidRPr="00474D2F">
              <w:rPr>
                <w:lang w:val="tr-TR"/>
              </w:rPr>
              <w:t xml:space="preserve"> </w:t>
            </w:r>
          </w:p>
        </w:tc>
      </w:tr>
      <w:tr w:rsidR="0098163B" w:rsidRPr="00474D2F" w14:paraId="7DAD1FFA" w14:textId="77777777" w:rsidTr="001C2AF1">
        <w:trPr>
          <w:trHeight w:val="2051"/>
        </w:trPr>
        <w:tc>
          <w:tcPr>
            <w:tcW w:w="9010" w:type="dxa"/>
            <w:gridSpan w:val="3"/>
            <w:vAlign w:val="center"/>
          </w:tcPr>
          <w:p w14:paraId="16693603" w14:textId="77777777" w:rsidR="0098163B" w:rsidRPr="00474D2F" w:rsidRDefault="00005411" w:rsidP="00474D2F">
            <w:pPr>
              <w:spacing w:before="120" w:after="120" w:line="260" w:lineRule="atLeast"/>
              <w:rPr>
                <w:rFonts w:ascii="Verdana" w:hAnsi="Verdana"/>
                <w:b/>
                <w:sz w:val="22"/>
                <w:szCs w:val="22"/>
                <w:lang w:val="tr-TR"/>
              </w:rPr>
            </w:pPr>
            <w:r w:rsidRPr="00474D2F">
              <w:rPr>
                <w:rFonts w:ascii="Verdana" w:hAnsi="Verdana"/>
                <w:b/>
                <w:sz w:val="22"/>
                <w:szCs w:val="22"/>
                <w:lang w:val="tr-TR"/>
              </w:rPr>
              <w:t>Oturumun Amacı</w:t>
            </w:r>
            <w:r w:rsidR="0098163B" w:rsidRPr="00474D2F">
              <w:rPr>
                <w:rFonts w:ascii="Verdana" w:hAnsi="Verdana"/>
                <w:b/>
                <w:sz w:val="22"/>
                <w:szCs w:val="22"/>
                <w:lang w:val="tr-TR"/>
              </w:rPr>
              <w:t xml:space="preserve">:  </w:t>
            </w:r>
          </w:p>
          <w:p w14:paraId="5D49D1E7" w14:textId="245957D9" w:rsidR="00005411" w:rsidRPr="00474D2F" w:rsidRDefault="00005411" w:rsidP="00474D2F">
            <w:pPr>
              <w:spacing w:before="120" w:after="120" w:line="260" w:lineRule="atLeast"/>
              <w:jc w:val="both"/>
              <w:rPr>
                <w:rFonts w:ascii="Verdana" w:eastAsia="Times New Roman" w:hAnsi="Verdana" w:cs="Arial"/>
                <w:color w:val="000000"/>
                <w:sz w:val="18"/>
                <w:szCs w:val="18"/>
                <w:lang w:val="tr-TR"/>
              </w:rPr>
            </w:pPr>
            <w:r w:rsidRPr="00474D2F">
              <w:rPr>
                <w:rFonts w:ascii="Verdana" w:eastAsia="Times New Roman" w:hAnsi="Verdana" w:cs="Arial"/>
                <w:color w:val="000000"/>
                <w:sz w:val="18"/>
                <w:szCs w:val="18"/>
                <w:lang w:val="tr-TR"/>
              </w:rPr>
              <w:t>Bu</w:t>
            </w:r>
            <w:r w:rsidR="00565C8A" w:rsidRPr="00474D2F">
              <w:rPr>
                <w:rFonts w:ascii="Verdana" w:eastAsia="Times New Roman" w:hAnsi="Verdana" w:cs="Arial"/>
                <w:color w:val="000000"/>
                <w:sz w:val="18"/>
                <w:szCs w:val="18"/>
                <w:lang w:val="tr-TR"/>
              </w:rPr>
              <w:t xml:space="preserve"> oturum</w:t>
            </w:r>
            <w:r w:rsidR="003074B6" w:rsidRPr="00474D2F">
              <w:rPr>
                <w:rFonts w:ascii="Verdana" w:eastAsia="Times New Roman" w:hAnsi="Verdana" w:cs="Arial"/>
                <w:color w:val="000000"/>
                <w:sz w:val="18"/>
                <w:szCs w:val="18"/>
                <w:lang w:val="tr-TR"/>
              </w:rPr>
              <w:t>un amacı</w:t>
            </w:r>
            <w:r w:rsidR="00565C8A" w:rsidRPr="00474D2F">
              <w:rPr>
                <w:rFonts w:ascii="Verdana" w:eastAsia="Times New Roman" w:hAnsi="Verdana" w:cs="Arial"/>
                <w:color w:val="000000"/>
                <w:sz w:val="18"/>
                <w:szCs w:val="18"/>
                <w:lang w:val="tr-TR"/>
              </w:rPr>
              <w:t xml:space="preserve">, </w:t>
            </w:r>
            <w:r w:rsidRPr="00474D2F">
              <w:rPr>
                <w:rFonts w:ascii="Verdana" w:eastAsia="Times New Roman" w:hAnsi="Verdana" w:cs="Arial"/>
                <w:color w:val="000000"/>
                <w:sz w:val="18"/>
                <w:szCs w:val="18"/>
                <w:lang w:val="tr-TR"/>
              </w:rPr>
              <w:t>polis,</w:t>
            </w:r>
            <w:r w:rsidR="00565C8A" w:rsidRPr="00474D2F">
              <w:rPr>
                <w:rFonts w:ascii="Verdana" w:eastAsia="Times New Roman" w:hAnsi="Verdana" w:cs="Arial"/>
                <w:color w:val="000000"/>
                <w:sz w:val="18"/>
                <w:szCs w:val="18"/>
                <w:lang w:val="tr-TR"/>
              </w:rPr>
              <w:t xml:space="preserve"> savcılık ve mahkeme düzeyinde</w:t>
            </w:r>
            <w:r w:rsidRPr="00474D2F">
              <w:rPr>
                <w:rFonts w:ascii="Verdana" w:eastAsia="Times New Roman" w:hAnsi="Verdana" w:cs="Arial"/>
                <w:color w:val="000000"/>
                <w:sz w:val="18"/>
                <w:szCs w:val="18"/>
                <w:lang w:val="tr-TR"/>
              </w:rPr>
              <w:t xml:space="preserve"> kurulu ile</w:t>
            </w:r>
            <w:r w:rsidR="00565C8A" w:rsidRPr="00474D2F">
              <w:rPr>
                <w:rFonts w:ascii="Verdana" w:eastAsia="Times New Roman" w:hAnsi="Verdana" w:cs="Arial"/>
                <w:color w:val="000000"/>
                <w:sz w:val="18"/>
                <w:szCs w:val="18"/>
                <w:lang w:val="tr-TR"/>
              </w:rPr>
              <w:t>tişim kanallarının kullanılması aracılığıyla sağlanacak resmi olmayan işbirliği yolları hakkında sunum yapılması ve tartış</w:t>
            </w:r>
            <w:r w:rsidR="003074B6" w:rsidRPr="00474D2F">
              <w:rPr>
                <w:rFonts w:ascii="Verdana" w:eastAsia="Times New Roman" w:hAnsi="Verdana" w:cs="Arial"/>
                <w:color w:val="000000"/>
                <w:sz w:val="18"/>
                <w:szCs w:val="18"/>
                <w:lang w:val="tr-TR"/>
              </w:rPr>
              <w:t>ıl</w:t>
            </w:r>
            <w:r w:rsidR="00565C8A" w:rsidRPr="00474D2F">
              <w:rPr>
                <w:rFonts w:ascii="Verdana" w:eastAsia="Times New Roman" w:hAnsi="Verdana" w:cs="Arial"/>
                <w:color w:val="000000"/>
                <w:sz w:val="18"/>
                <w:szCs w:val="18"/>
                <w:lang w:val="tr-TR"/>
              </w:rPr>
              <w:t>ma</w:t>
            </w:r>
            <w:r w:rsidR="003074B6" w:rsidRPr="00474D2F">
              <w:rPr>
                <w:rFonts w:ascii="Verdana" w:eastAsia="Times New Roman" w:hAnsi="Verdana" w:cs="Arial"/>
                <w:color w:val="000000"/>
                <w:sz w:val="18"/>
                <w:szCs w:val="18"/>
                <w:lang w:val="tr-TR"/>
              </w:rPr>
              <w:t>sıdır</w:t>
            </w:r>
            <w:r w:rsidR="00FF656E" w:rsidRPr="00474D2F">
              <w:rPr>
                <w:rFonts w:ascii="Verdana" w:eastAsia="Times New Roman" w:hAnsi="Verdana" w:cs="Arial"/>
                <w:color w:val="000000"/>
                <w:sz w:val="18"/>
                <w:szCs w:val="18"/>
                <w:lang w:val="tr-TR"/>
              </w:rPr>
              <w:t xml:space="preserve">. Uluslararası örgüt ve işbirliği ağı örnekleri sunulmuştur ve bunlardan en başarılı olanları ele alınacaktır.  </w:t>
            </w:r>
            <w:r w:rsidR="00565C8A" w:rsidRPr="00474D2F">
              <w:rPr>
                <w:rFonts w:ascii="Verdana" w:eastAsia="Times New Roman" w:hAnsi="Verdana" w:cs="Arial"/>
                <w:color w:val="000000"/>
                <w:sz w:val="18"/>
                <w:szCs w:val="18"/>
                <w:lang w:val="tr-TR"/>
              </w:rPr>
              <w:t xml:space="preserve"> </w:t>
            </w:r>
          </w:p>
          <w:p w14:paraId="35039043" w14:textId="5B5CF143" w:rsidR="00FF656E" w:rsidRPr="00474D2F" w:rsidRDefault="00FF656E" w:rsidP="00474D2F">
            <w:pPr>
              <w:spacing w:before="120" w:after="120" w:line="260" w:lineRule="atLeast"/>
              <w:jc w:val="both"/>
              <w:rPr>
                <w:rFonts w:ascii="Verdana" w:eastAsia="Times New Roman" w:hAnsi="Verdana" w:cs="Arial"/>
                <w:color w:val="000000"/>
                <w:sz w:val="18"/>
                <w:szCs w:val="18"/>
                <w:lang w:val="tr-TR"/>
              </w:rPr>
            </w:pPr>
            <w:r w:rsidRPr="00474D2F">
              <w:rPr>
                <w:rFonts w:ascii="Verdana" w:eastAsia="Times New Roman" w:hAnsi="Verdana" w:cs="Arial"/>
                <w:color w:val="000000"/>
                <w:sz w:val="18"/>
                <w:szCs w:val="18"/>
                <w:lang w:val="tr-TR"/>
              </w:rPr>
              <w:t>Uzman</w:t>
            </w:r>
            <w:r w:rsidR="003A3870" w:rsidRPr="00474D2F">
              <w:rPr>
                <w:rFonts w:ascii="Verdana" w:eastAsia="Times New Roman" w:hAnsi="Verdana" w:cs="Arial"/>
                <w:color w:val="000000"/>
                <w:sz w:val="18"/>
                <w:szCs w:val="18"/>
                <w:lang w:val="tr-TR"/>
              </w:rPr>
              <w:t>,</w:t>
            </w:r>
            <w:r w:rsidRPr="00474D2F">
              <w:rPr>
                <w:rFonts w:ascii="Verdana" w:eastAsia="Times New Roman" w:hAnsi="Verdana" w:cs="Arial"/>
                <w:color w:val="000000"/>
                <w:sz w:val="18"/>
                <w:szCs w:val="18"/>
                <w:lang w:val="tr-TR"/>
              </w:rPr>
              <w:t xml:space="preserve"> bu ağların kullanılacağı durumları, prosedürleri, hızlı iletişim ve eğer mümkün ve geçerli ise, yalnızca bilgi alışverişi </w:t>
            </w:r>
            <w:r w:rsidR="00C62E87" w:rsidRPr="00474D2F">
              <w:rPr>
                <w:rFonts w:ascii="Verdana" w:eastAsia="Times New Roman" w:hAnsi="Verdana" w:cs="Arial"/>
                <w:color w:val="000000"/>
                <w:sz w:val="18"/>
                <w:szCs w:val="18"/>
                <w:lang w:val="tr-TR"/>
              </w:rPr>
              <w:t xml:space="preserve">için </w:t>
            </w:r>
            <w:r w:rsidRPr="00474D2F">
              <w:rPr>
                <w:rFonts w:ascii="Verdana" w:eastAsia="Times New Roman" w:hAnsi="Verdana" w:cs="Arial"/>
                <w:color w:val="000000"/>
                <w:sz w:val="18"/>
                <w:szCs w:val="18"/>
                <w:lang w:val="tr-TR"/>
              </w:rPr>
              <w:t>değil fakat aynı zamanda delil alışverişi için</w:t>
            </w:r>
            <w:r w:rsidR="00C62E87" w:rsidRPr="00474D2F">
              <w:rPr>
                <w:rFonts w:ascii="Verdana" w:eastAsia="Times New Roman" w:hAnsi="Verdana" w:cs="Arial"/>
                <w:color w:val="000000"/>
                <w:sz w:val="18"/>
                <w:szCs w:val="18"/>
                <w:lang w:val="tr-TR"/>
              </w:rPr>
              <w:t xml:space="preserve"> de kullanılacak</w:t>
            </w:r>
            <w:r w:rsidRPr="00474D2F">
              <w:rPr>
                <w:rFonts w:ascii="Verdana" w:eastAsia="Times New Roman" w:hAnsi="Verdana" w:cs="Arial"/>
                <w:color w:val="000000"/>
                <w:sz w:val="18"/>
                <w:szCs w:val="18"/>
                <w:lang w:val="tr-TR"/>
              </w:rPr>
              <w:t xml:space="preserve"> irtibat noktalarını paylaşacaktır. </w:t>
            </w:r>
          </w:p>
          <w:p w14:paraId="7ACBF619" w14:textId="5337EED5" w:rsidR="0098163B" w:rsidRPr="00474D2F" w:rsidRDefault="00C62E87" w:rsidP="00474D2F">
            <w:pPr>
              <w:spacing w:before="120" w:after="120" w:line="260" w:lineRule="atLeast"/>
              <w:jc w:val="both"/>
              <w:rPr>
                <w:rFonts w:ascii="Verdana" w:eastAsia="Times New Roman" w:hAnsi="Verdana" w:cs="Arial"/>
                <w:color w:val="000000"/>
                <w:sz w:val="18"/>
                <w:szCs w:val="18"/>
                <w:lang w:val="tr-TR"/>
              </w:rPr>
            </w:pPr>
            <w:r w:rsidRPr="00474D2F">
              <w:rPr>
                <w:rFonts w:ascii="Verdana" w:eastAsia="Times New Roman" w:hAnsi="Verdana" w:cs="Arial"/>
                <w:color w:val="000000"/>
                <w:sz w:val="18"/>
                <w:szCs w:val="18"/>
                <w:lang w:val="tr-TR"/>
              </w:rPr>
              <w:t xml:space="preserve">Oturumun ana unsuru, mevcut mekanizmaların </w:t>
            </w:r>
            <w:r w:rsidR="000C29F6" w:rsidRPr="00474D2F">
              <w:rPr>
                <w:rFonts w:ascii="Verdana" w:eastAsia="Times New Roman" w:hAnsi="Verdana" w:cs="Arial"/>
                <w:color w:val="000000"/>
                <w:sz w:val="18"/>
                <w:szCs w:val="18"/>
                <w:lang w:val="tr-TR"/>
              </w:rPr>
              <w:t>siber suçların önlenmesi</w:t>
            </w:r>
            <w:r w:rsidRPr="00474D2F">
              <w:rPr>
                <w:rFonts w:ascii="Verdana" w:eastAsia="Times New Roman" w:hAnsi="Verdana" w:cs="Arial"/>
                <w:color w:val="000000"/>
                <w:sz w:val="18"/>
                <w:szCs w:val="18"/>
                <w:lang w:val="tr-TR"/>
              </w:rPr>
              <w:t xml:space="preserve">ne yönelik tedbirler olarak en etkili biçimde kullanılması gerektiğidir. </w:t>
            </w:r>
          </w:p>
        </w:tc>
      </w:tr>
      <w:tr w:rsidR="0098163B" w:rsidRPr="00474D2F" w14:paraId="103A2831" w14:textId="77777777" w:rsidTr="001C2AF1">
        <w:trPr>
          <w:trHeight w:val="5894"/>
        </w:trPr>
        <w:tc>
          <w:tcPr>
            <w:tcW w:w="9010" w:type="dxa"/>
            <w:gridSpan w:val="3"/>
          </w:tcPr>
          <w:p w14:paraId="19C03434" w14:textId="498789D6" w:rsidR="0098163B" w:rsidRPr="00474D2F" w:rsidRDefault="00D15272" w:rsidP="00474D2F">
            <w:pPr>
              <w:spacing w:before="120" w:after="120" w:line="260" w:lineRule="atLeast"/>
              <w:rPr>
                <w:rFonts w:ascii="Verdana" w:hAnsi="Verdana"/>
                <w:b/>
                <w:sz w:val="22"/>
                <w:szCs w:val="22"/>
                <w:lang w:val="tr-TR"/>
              </w:rPr>
            </w:pPr>
            <w:r w:rsidRPr="00474D2F">
              <w:rPr>
                <w:rFonts w:ascii="Verdana" w:hAnsi="Verdana"/>
                <w:b/>
                <w:sz w:val="22"/>
                <w:szCs w:val="22"/>
                <w:lang w:val="tr-TR"/>
              </w:rPr>
              <w:t>Hedefler</w:t>
            </w:r>
            <w:r w:rsidR="0098163B" w:rsidRPr="00474D2F">
              <w:rPr>
                <w:rFonts w:ascii="Verdana" w:hAnsi="Verdana"/>
                <w:b/>
                <w:sz w:val="22"/>
                <w:szCs w:val="22"/>
                <w:lang w:val="tr-TR"/>
              </w:rPr>
              <w:t>:</w:t>
            </w:r>
          </w:p>
          <w:p w14:paraId="77695A9F" w14:textId="5BFE6FF4" w:rsidR="007817D6" w:rsidRPr="00474D2F" w:rsidRDefault="007817D6" w:rsidP="00474D2F">
            <w:pPr>
              <w:pStyle w:val="ListParagraph"/>
              <w:numPr>
                <w:ilvl w:val="0"/>
                <w:numId w:val="3"/>
              </w:numPr>
              <w:spacing w:before="120" w:after="120" w:line="260" w:lineRule="atLeast"/>
              <w:contextualSpacing w:val="0"/>
              <w:rPr>
                <w:rFonts w:ascii="Verdana" w:hAnsi="Verdana"/>
                <w:b/>
                <w:sz w:val="22"/>
                <w:szCs w:val="22"/>
                <w:lang w:val="tr-TR"/>
              </w:rPr>
            </w:pPr>
            <w:r w:rsidRPr="00474D2F">
              <w:rPr>
                <w:rFonts w:ascii="Verdana" w:eastAsia="Times New Roman" w:hAnsi="Verdana" w:cs="Times New Roman"/>
                <w:sz w:val="18"/>
                <w:szCs w:val="18"/>
                <w:lang w:val="tr-TR"/>
              </w:rPr>
              <w:t>cezai konularda karşılıklı resmi adli yardımlaşma ile resmi olmayan adli yardımlaşma arasındaki farkları anlamak</w:t>
            </w:r>
          </w:p>
          <w:p w14:paraId="03276153" w14:textId="77777777" w:rsidR="00D743B9" w:rsidRPr="00474D2F" w:rsidRDefault="00D743B9" w:rsidP="00474D2F">
            <w:pPr>
              <w:pStyle w:val="ListParagraph"/>
              <w:numPr>
                <w:ilvl w:val="0"/>
                <w:numId w:val="3"/>
              </w:numPr>
              <w:spacing w:before="120" w:after="120" w:line="260" w:lineRule="atLeast"/>
              <w:contextualSpacing w:val="0"/>
              <w:rPr>
                <w:rFonts w:ascii="Verdana" w:hAnsi="Verdana"/>
                <w:b/>
                <w:sz w:val="22"/>
                <w:szCs w:val="22"/>
                <w:lang w:val="tr-TR"/>
              </w:rPr>
            </w:pPr>
            <w:r w:rsidRPr="00474D2F">
              <w:rPr>
                <w:rFonts w:ascii="Verdana" w:eastAsia="Times New Roman" w:hAnsi="Verdana" w:cs="Times New Roman"/>
                <w:sz w:val="18"/>
                <w:szCs w:val="18"/>
                <w:lang w:val="tr-TR"/>
              </w:rPr>
              <w:t xml:space="preserve">uluslararası örgütlerin ve siber suç ağlarının teşkilat, kuruluş ve yetkilerine ilişkin ek bilgiler edinmek </w:t>
            </w:r>
          </w:p>
          <w:p w14:paraId="3673436C" w14:textId="776277ED" w:rsidR="00D743B9" w:rsidRPr="00474D2F" w:rsidRDefault="00D743B9" w:rsidP="00474D2F">
            <w:pPr>
              <w:pStyle w:val="ListParagraph"/>
              <w:numPr>
                <w:ilvl w:val="0"/>
                <w:numId w:val="3"/>
              </w:numPr>
              <w:spacing w:before="120" w:after="120" w:line="260" w:lineRule="atLeast"/>
              <w:contextualSpacing w:val="0"/>
              <w:rPr>
                <w:rFonts w:ascii="Verdana" w:hAnsi="Verdana"/>
                <w:b/>
                <w:sz w:val="22"/>
                <w:szCs w:val="22"/>
                <w:lang w:val="tr-TR"/>
              </w:rPr>
            </w:pPr>
            <w:r w:rsidRPr="00474D2F">
              <w:rPr>
                <w:rFonts w:ascii="Verdana" w:eastAsia="Times New Roman" w:hAnsi="Verdana" w:cs="Times New Roman"/>
                <w:sz w:val="18"/>
                <w:szCs w:val="18"/>
                <w:lang w:val="tr-TR"/>
              </w:rPr>
              <w:t>Avrupa Konseyi Siber Suç Sözleşmesi’nin 35. maddesinin uygulanmasını anlamak ve analiz etmek</w:t>
            </w:r>
          </w:p>
          <w:p w14:paraId="1F8A1AFD" w14:textId="541D67BB" w:rsidR="0098163B" w:rsidRPr="00474D2F" w:rsidRDefault="00D743B9" w:rsidP="00474D2F">
            <w:pPr>
              <w:pStyle w:val="ListParagraph"/>
              <w:numPr>
                <w:ilvl w:val="0"/>
                <w:numId w:val="3"/>
              </w:numPr>
              <w:spacing w:before="120" w:after="120" w:line="260" w:lineRule="atLeast"/>
              <w:contextualSpacing w:val="0"/>
              <w:rPr>
                <w:rFonts w:ascii="Verdana" w:hAnsi="Verdana"/>
                <w:b/>
                <w:sz w:val="22"/>
                <w:szCs w:val="22"/>
                <w:lang w:val="tr-TR"/>
              </w:rPr>
            </w:pPr>
            <w:r w:rsidRPr="00474D2F">
              <w:rPr>
                <w:rFonts w:ascii="Verdana" w:eastAsia="Times New Roman" w:hAnsi="Verdana" w:cs="Arial"/>
                <w:color w:val="000000"/>
                <w:sz w:val="18"/>
                <w:szCs w:val="18"/>
                <w:lang w:val="tr-TR"/>
              </w:rPr>
              <w:t>siber suçların önlenmesi ve karşılıklı adli yardımlaşma hakkında bazı ulusal ve yerel çözümler hakkında farkındalık yaratmak</w:t>
            </w:r>
          </w:p>
        </w:tc>
      </w:tr>
      <w:tr w:rsidR="0098163B" w:rsidRPr="00474D2F" w14:paraId="7CB2F022" w14:textId="77777777" w:rsidTr="001C2AF1">
        <w:trPr>
          <w:trHeight w:val="3230"/>
        </w:trPr>
        <w:tc>
          <w:tcPr>
            <w:tcW w:w="9010" w:type="dxa"/>
            <w:gridSpan w:val="3"/>
            <w:tcBorders>
              <w:bottom w:val="single" w:sz="4" w:space="0" w:color="auto"/>
            </w:tcBorders>
            <w:vAlign w:val="center"/>
          </w:tcPr>
          <w:p w14:paraId="22248FD5" w14:textId="1A728126" w:rsidR="0098163B" w:rsidRPr="00474D2F" w:rsidRDefault="00351437" w:rsidP="00474D2F">
            <w:pPr>
              <w:spacing w:before="120" w:after="120" w:line="260" w:lineRule="atLeast"/>
              <w:rPr>
                <w:rFonts w:ascii="Verdana" w:hAnsi="Verdana"/>
                <w:b/>
                <w:color w:val="000000" w:themeColor="text1"/>
                <w:sz w:val="22"/>
                <w:szCs w:val="22"/>
                <w:lang w:val="tr-TR"/>
              </w:rPr>
            </w:pPr>
            <w:r w:rsidRPr="00474D2F">
              <w:rPr>
                <w:rFonts w:ascii="Verdana" w:hAnsi="Verdana"/>
                <w:b/>
                <w:color w:val="000000" w:themeColor="text1"/>
                <w:sz w:val="22"/>
                <w:szCs w:val="22"/>
                <w:lang w:val="tr-TR"/>
              </w:rPr>
              <w:lastRenderedPageBreak/>
              <w:t>Eğit</w:t>
            </w:r>
            <w:r w:rsidR="00E96FC3" w:rsidRPr="00474D2F">
              <w:rPr>
                <w:rFonts w:ascii="Verdana" w:hAnsi="Verdana"/>
                <w:b/>
                <w:color w:val="000000" w:themeColor="text1"/>
                <w:sz w:val="22"/>
                <w:szCs w:val="22"/>
                <w:lang w:val="tr-TR"/>
              </w:rPr>
              <w:t>ici</w:t>
            </w:r>
            <w:r w:rsidRPr="00474D2F">
              <w:rPr>
                <w:rFonts w:ascii="Verdana" w:hAnsi="Verdana"/>
                <w:b/>
                <w:color w:val="000000" w:themeColor="text1"/>
                <w:sz w:val="22"/>
                <w:szCs w:val="22"/>
                <w:lang w:val="tr-TR"/>
              </w:rPr>
              <w:t xml:space="preserve"> </w:t>
            </w:r>
            <w:r w:rsidR="00E96FC3" w:rsidRPr="00474D2F">
              <w:rPr>
                <w:rFonts w:ascii="Verdana" w:hAnsi="Verdana"/>
                <w:b/>
                <w:color w:val="000000" w:themeColor="text1"/>
                <w:sz w:val="22"/>
                <w:szCs w:val="22"/>
                <w:lang w:val="tr-TR"/>
              </w:rPr>
              <w:t>R</w:t>
            </w:r>
            <w:r w:rsidRPr="00474D2F">
              <w:rPr>
                <w:rFonts w:ascii="Verdana" w:hAnsi="Verdana"/>
                <w:b/>
                <w:color w:val="000000" w:themeColor="text1"/>
                <w:sz w:val="22"/>
                <w:szCs w:val="22"/>
                <w:lang w:val="tr-TR"/>
              </w:rPr>
              <w:t>ehberi</w:t>
            </w:r>
          </w:p>
          <w:p w14:paraId="39038968" w14:textId="2AE36B51" w:rsidR="00351437" w:rsidRPr="00474D2F" w:rsidRDefault="00351437" w:rsidP="00474D2F">
            <w:pPr>
              <w:spacing w:beforeLines="20" w:before="48" w:afterLines="120" w:after="288" w:line="260" w:lineRule="atLeast"/>
              <w:jc w:val="both"/>
              <w:rPr>
                <w:rFonts w:ascii="Verdana" w:hAnsi="Verdana"/>
                <w:bCs/>
                <w:color w:val="000000" w:themeColor="text1"/>
                <w:sz w:val="18"/>
                <w:szCs w:val="18"/>
                <w:lang w:val="tr-TR"/>
              </w:rPr>
            </w:pPr>
            <w:r w:rsidRPr="00474D2F">
              <w:rPr>
                <w:rFonts w:ascii="Verdana" w:hAnsi="Verdana"/>
                <w:bCs/>
                <w:color w:val="000000" w:themeColor="text1"/>
                <w:sz w:val="18"/>
                <w:szCs w:val="18"/>
                <w:lang w:val="tr-TR"/>
              </w:rPr>
              <w:t>Oturum boyunca aşağıdaki hususlar dikkate alınmalıdır:</w:t>
            </w:r>
          </w:p>
          <w:p w14:paraId="7198C39C" w14:textId="2979AE53" w:rsidR="00351437" w:rsidRPr="00474D2F" w:rsidRDefault="00351437" w:rsidP="00474D2F">
            <w:pPr>
              <w:pStyle w:val="ListParagraph"/>
              <w:numPr>
                <w:ilvl w:val="0"/>
                <w:numId w:val="3"/>
              </w:numPr>
              <w:spacing w:before="120" w:after="120" w:line="260" w:lineRule="atLeast"/>
              <w:contextualSpacing w:val="0"/>
              <w:rPr>
                <w:rFonts w:ascii="Verdana" w:eastAsia="Times New Roman" w:hAnsi="Verdana" w:cs="Times New Roman"/>
                <w:sz w:val="18"/>
                <w:szCs w:val="18"/>
                <w:lang w:val="tr-TR"/>
              </w:rPr>
            </w:pPr>
            <w:r w:rsidRPr="00474D2F">
              <w:rPr>
                <w:rFonts w:ascii="Verdana" w:eastAsia="Times New Roman" w:hAnsi="Verdana" w:cs="Times New Roman"/>
                <w:sz w:val="18"/>
                <w:szCs w:val="18"/>
                <w:lang w:val="tr-TR"/>
              </w:rPr>
              <w:t xml:space="preserve">Cezai konularda karşılıklı resmi adli yardımlaşma </w:t>
            </w:r>
            <w:r w:rsidR="00031CFA" w:rsidRPr="00474D2F">
              <w:rPr>
                <w:rFonts w:ascii="Verdana" w:eastAsia="Times New Roman" w:hAnsi="Verdana" w:cs="Times New Roman"/>
                <w:sz w:val="18"/>
                <w:szCs w:val="18"/>
                <w:lang w:val="tr-TR"/>
              </w:rPr>
              <w:t>ve</w:t>
            </w:r>
            <w:r w:rsidRPr="00474D2F">
              <w:rPr>
                <w:rFonts w:ascii="Verdana" w:eastAsia="Times New Roman" w:hAnsi="Verdana" w:cs="Times New Roman"/>
                <w:sz w:val="18"/>
                <w:szCs w:val="18"/>
                <w:lang w:val="tr-TR"/>
              </w:rPr>
              <w:t xml:space="preserve"> resmi olmayan adli yardımlaşma</w:t>
            </w:r>
            <w:r w:rsidR="00031CFA" w:rsidRPr="00474D2F">
              <w:rPr>
                <w:rFonts w:ascii="Verdana" w:eastAsia="Times New Roman" w:hAnsi="Verdana" w:cs="Times New Roman"/>
                <w:sz w:val="18"/>
                <w:szCs w:val="18"/>
                <w:lang w:val="tr-TR"/>
              </w:rPr>
              <w:t xml:space="preserve"> arasındaki farklar, bunlara ilişkin örnekler, temel noktalar ve </w:t>
            </w:r>
            <w:r w:rsidR="003F25DA" w:rsidRPr="00474D2F">
              <w:rPr>
                <w:rFonts w:ascii="Verdana" w:eastAsia="Times New Roman" w:hAnsi="Verdana" w:cs="Times New Roman"/>
                <w:sz w:val="18"/>
                <w:szCs w:val="18"/>
                <w:lang w:val="tr-TR"/>
              </w:rPr>
              <w:t>öneriler</w:t>
            </w:r>
          </w:p>
          <w:p w14:paraId="33C22ABC" w14:textId="04879895" w:rsidR="0098163B" w:rsidRPr="00474D2F" w:rsidRDefault="00031CFA" w:rsidP="00474D2F">
            <w:pPr>
              <w:pStyle w:val="ListParagraph"/>
              <w:numPr>
                <w:ilvl w:val="0"/>
                <w:numId w:val="3"/>
              </w:numPr>
              <w:spacing w:before="120" w:after="120" w:line="260" w:lineRule="atLeast"/>
              <w:contextualSpacing w:val="0"/>
              <w:rPr>
                <w:rFonts w:ascii="Verdana" w:eastAsia="Times New Roman" w:hAnsi="Verdana" w:cs="Times New Roman"/>
                <w:sz w:val="18"/>
                <w:szCs w:val="18"/>
                <w:lang w:val="tr-TR"/>
              </w:rPr>
            </w:pPr>
            <w:r w:rsidRPr="00474D2F">
              <w:rPr>
                <w:rFonts w:ascii="Verdana" w:eastAsia="Times New Roman" w:hAnsi="Verdana" w:cs="Times New Roman"/>
                <w:sz w:val="18"/>
                <w:szCs w:val="18"/>
                <w:lang w:val="tr-TR"/>
              </w:rPr>
              <w:t xml:space="preserve">Uluslararası siber suç konusunda resmi ve resmi olmayan işbirliği örgütleri ve ağları, </w:t>
            </w:r>
            <w:r w:rsidR="00A000A4" w:rsidRPr="00474D2F">
              <w:rPr>
                <w:rFonts w:ascii="Verdana" w:eastAsia="Times New Roman" w:hAnsi="Verdana" w:cs="Times New Roman"/>
                <w:sz w:val="18"/>
                <w:szCs w:val="18"/>
                <w:lang w:val="tr-TR"/>
              </w:rPr>
              <w:t>organizasyon</w:t>
            </w:r>
            <w:r w:rsidRPr="00474D2F">
              <w:rPr>
                <w:rFonts w:ascii="Verdana" w:eastAsia="Times New Roman" w:hAnsi="Verdana" w:cs="Times New Roman"/>
                <w:sz w:val="18"/>
                <w:szCs w:val="18"/>
                <w:lang w:val="tr-TR"/>
              </w:rPr>
              <w:t xml:space="preserve"> ve </w:t>
            </w:r>
            <w:r w:rsidR="00DE16B3" w:rsidRPr="00474D2F">
              <w:rPr>
                <w:rFonts w:ascii="Verdana" w:eastAsia="Times New Roman" w:hAnsi="Verdana" w:cs="Times New Roman"/>
                <w:sz w:val="18"/>
                <w:szCs w:val="18"/>
                <w:lang w:val="tr-TR"/>
              </w:rPr>
              <w:t>başvurulacak durumlar</w:t>
            </w:r>
            <w:r w:rsidRPr="00474D2F">
              <w:rPr>
                <w:rFonts w:ascii="Verdana" w:eastAsia="Times New Roman" w:hAnsi="Verdana" w:cs="Times New Roman"/>
                <w:sz w:val="18"/>
                <w:szCs w:val="18"/>
                <w:lang w:val="tr-TR"/>
              </w:rPr>
              <w:t xml:space="preserve"> </w:t>
            </w:r>
            <w:r w:rsidR="0098163B" w:rsidRPr="00474D2F">
              <w:rPr>
                <w:rFonts w:ascii="Verdana" w:eastAsia="Times New Roman" w:hAnsi="Verdana" w:cs="Times New Roman"/>
                <w:sz w:val="18"/>
                <w:szCs w:val="18"/>
                <w:lang w:val="tr-TR"/>
              </w:rPr>
              <w:t xml:space="preserve">(INTERPOL NCB </w:t>
            </w:r>
            <w:r w:rsidRPr="00474D2F">
              <w:rPr>
                <w:rFonts w:ascii="Verdana" w:eastAsia="Times New Roman" w:hAnsi="Verdana" w:cs="Times New Roman"/>
                <w:sz w:val="18"/>
                <w:szCs w:val="18"/>
                <w:lang w:val="tr-TR"/>
              </w:rPr>
              <w:t>ve</w:t>
            </w:r>
            <w:r w:rsidR="0098163B" w:rsidRPr="00474D2F">
              <w:rPr>
                <w:rFonts w:ascii="Verdana" w:eastAsia="Times New Roman" w:hAnsi="Verdana" w:cs="Times New Roman"/>
                <w:sz w:val="18"/>
                <w:szCs w:val="18"/>
                <w:lang w:val="tr-TR"/>
              </w:rPr>
              <w:t xml:space="preserve"> NCRP, </w:t>
            </w:r>
            <w:r w:rsidRPr="00474D2F">
              <w:rPr>
                <w:rFonts w:ascii="Verdana" w:eastAsia="Times New Roman" w:hAnsi="Verdana" w:cs="Times New Roman"/>
                <w:sz w:val="18"/>
                <w:szCs w:val="18"/>
                <w:lang w:val="tr-TR"/>
              </w:rPr>
              <w:t>AB</w:t>
            </w:r>
            <w:r w:rsidR="0098163B" w:rsidRPr="00474D2F">
              <w:rPr>
                <w:rFonts w:ascii="Verdana" w:eastAsia="Times New Roman" w:hAnsi="Verdana" w:cs="Times New Roman"/>
                <w:sz w:val="18"/>
                <w:szCs w:val="18"/>
                <w:lang w:val="tr-TR"/>
              </w:rPr>
              <w:t xml:space="preserve"> </w:t>
            </w:r>
            <w:r w:rsidRPr="00474D2F">
              <w:rPr>
                <w:rFonts w:ascii="Verdana" w:eastAsia="Times New Roman" w:hAnsi="Verdana" w:cs="Times New Roman"/>
                <w:sz w:val="18"/>
                <w:szCs w:val="18"/>
                <w:lang w:val="tr-TR"/>
              </w:rPr>
              <w:t>mekanizmaları</w:t>
            </w:r>
            <w:r w:rsidR="0098163B" w:rsidRPr="00474D2F">
              <w:rPr>
                <w:rFonts w:ascii="Verdana" w:eastAsia="Times New Roman" w:hAnsi="Verdana" w:cs="Times New Roman"/>
                <w:sz w:val="18"/>
                <w:szCs w:val="18"/>
                <w:lang w:val="tr-TR"/>
              </w:rPr>
              <w:t>, EUROPOL, EC3, EUROJUST, EJCN, EJN)</w:t>
            </w:r>
          </w:p>
          <w:p w14:paraId="681B7E43" w14:textId="0792DE02" w:rsidR="00031CFA" w:rsidRPr="00474D2F" w:rsidRDefault="00031CFA" w:rsidP="00474D2F">
            <w:pPr>
              <w:pStyle w:val="ListParagraph"/>
              <w:numPr>
                <w:ilvl w:val="0"/>
                <w:numId w:val="3"/>
              </w:numPr>
              <w:spacing w:before="120" w:after="120" w:line="260" w:lineRule="atLeast"/>
              <w:contextualSpacing w:val="0"/>
              <w:rPr>
                <w:rFonts w:ascii="Verdana" w:eastAsia="Times New Roman" w:hAnsi="Verdana" w:cs="Times New Roman"/>
                <w:sz w:val="18"/>
                <w:szCs w:val="18"/>
                <w:lang w:val="tr-TR"/>
              </w:rPr>
            </w:pPr>
            <w:r w:rsidRPr="00474D2F">
              <w:rPr>
                <w:rFonts w:ascii="Verdana" w:eastAsia="Times New Roman" w:hAnsi="Verdana" w:cs="Times New Roman"/>
                <w:sz w:val="18"/>
                <w:szCs w:val="18"/>
                <w:lang w:val="tr-TR"/>
              </w:rPr>
              <w:t>Avrupa Konseyi Siber Suç Sözleşmesi</w:t>
            </w:r>
            <w:r w:rsidR="004E4172" w:rsidRPr="00474D2F">
              <w:rPr>
                <w:rFonts w:ascii="Verdana" w:eastAsia="Times New Roman" w:hAnsi="Verdana" w:cs="Times New Roman"/>
                <w:sz w:val="18"/>
                <w:szCs w:val="18"/>
                <w:lang w:val="tr-TR"/>
              </w:rPr>
              <w:t>, siber suça hızlı tepki için 24/7</w:t>
            </w:r>
            <w:r w:rsidRPr="00474D2F">
              <w:rPr>
                <w:rFonts w:ascii="Verdana" w:eastAsia="Times New Roman" w:hAnsi="Verdana" w:cs="Times New Roman"/>
                <w:sz w:val="18"/>
                <w:szCs w:val="18"/>
                <w:lang w:val="tr-TR"/>
              </w:rPr>
              <w:t xml:space="preserve"> İrtibat Noktası Ağı, bilgi alışverişi organizasyonu ve tecrübeleri</w:t>
            </w:r>
          </w:p>
          <w:p w14:paraId="3683E347" w14:textId="1C25B84F" w:rsidR="0098163B" w:rsidRPr="00474D2F" w:rsidRDefault="00031CFA" w:rsidP="00474D2F">
            <w:pPr>
              <w:pStyle w:val="ListParagraph"/>
              <w:numPr>
                <w:ilvl w:val="0"/>
                <w:numId w:val="3"/>
              </w:numPr>
              <w:spacing w:before="120" w:after="120" w:line="260" w:lineRule="atLeast"/>
              <w:contextualSpacing w:val="0"/>
              <w:rPr>
                <w:rFonts w:ascii="Verdana" w:eastAsia="Times New Roman" w:hAnsi="Verdana" w:cs="Times New Roman"/>
                <w:sz w:val="18"/>
                <w:szCs w:val="18"/>
                <w:lang w:val="tr-TR"/>
              </w:rPr>
            </w:pPr>
            <w:r w:rsidRPr="00474D2F">
              <w:rPr>
                <w:rFonts w:ascii="Verdana" w:eastAsia="Times New Roman" w:hAnsi="Verdana" w:cs="Times New Roman"/>
                <w:sz w:val="18"/>
                <w:szCs w:val="18"/>
                <w:lang w:val="tr-TR"/>
              </w:rPr>
              <w:t>Siber suç</w:t>
            </w:r>
            <w:r w:rsidR="003074B6" w:rsidRPr="00474D2F">
              <w:rPr>
                <w:rFonts w:ascii="Verdana" w:eastAsia="Times New Roman" w:hAnsi="Verdana" w:cs="Times New Roman"/>
                <w:sz w:val="18"/>
                <w:szCs w:val="18"/>
                <w:lang w:val="tr-TR"/>
              </w:rPr>
              <w:t>lara</w:t>
            </w:r>
            <w:r w:rsidRPr="00474D2F">
              <w:rPr>
                <w:rFonts w:ascii="Verdana" w:eastAsia="Times New Roman" w:hAnsi="Verdana" w:cs="Times New Roman"/>
                <w:sz w:val="18"/>
                <w:szCs w:val="18"/>
                <w:lang w:val="tr-TR"/>
              </w:rPr>
              <w:t xml:space="preserve"> uluslararası </w:t>
            </w:r>
            <w:r w:rsidR="003074B6" w:rsidRPr="00474D2F">
              <w:rPr>
                <w:rFonts w:ascii="Verdana" w:eastAsia="Times New Roman" w:hAnsi="Verdana" w:cs="Times New Roman"/>
                <w:sz w:val="18"/>
                <w:szCs w:val="18"/>
                <w:lang w:val="tr-TR"/>
              </w:rPr>
              <w:t xml:space="preserve">müdahale </w:t>
            </w:r>
            <w:r w:rsidRPr="00474D2F">
              <w:rPr>
                <w:rFonts w:ascii="Verdana" w:eastAsia="Times New Roman" w:hAnsi="Verdana" w:cs="Times New Roman"/>
                <w:sz w:val="18"/>
                <w:szCs w:val="18"/>
                <w:lang w:val="tr-TR"/>
              </w:rPr>
              <w:t>konusunda ülkelere özgü tecrübeler (uyarlanabilir)</w:t>
            </w:r>
          </w:p>
        </w:tc>
      </w:tr>
      <w:tr w:rsidR="0098163B" w:rsidRPr="00474D2F" w14:paraId="334F68C8" w14:textId="77777777" w:rsidTr="001C2AF1">
        <w:trPr>
          <w:trHeight w:val="728"/>
        </w:trPr>
        <w:tc>
          <w:tcPr>
            <w:tcW w:w="9010" w:type="dxa"/>
            <w:gridSpan w:val="3"/>
            <w:tcBorders>
              <w:bottom w:val="single" w:sz="4" w:space="0" w:color="auto"/>
            </w:tcBorders>
            <w:shd w:val="clear" w:color="auto" w:fill="DEEAF6" w:themeFill="accent1" w:themeFillTint="33"/>
            <w:vAlign w:val="center"/>
          </w:tcPr>
          <w:p w14:paraId="77B34448" w14:textId="4B78215B" w:rsidR="0098163B" w:rsidRPr="00474D2F" w:rsidRDefault="00031CFA" w:rsidP="00474D2F">
            <w:pPr>
              <w:spacing w:before="120" w:after="120" w:line="260" w:lineRule="atLeast"/>
              <w:rPr>
                <w:rFonts w:ascii="Verdana" w:hAnsi="Verdana"/>
                <w:b/>
                <w:sz w:val="28"/>
                <w:szCs w:val="28"/>
                <w:lang w:val="tr-TR"/>
              </w:rPr>
            </w:pPr>
            <w:r w:rsidRPr="00474D2F">
              <w:rPr>
                <w:rFonts w:ascii="Verdana" w:hAnsi="Verdana"/>
                <w:b/>
                <w:sz w:val="28"/>
                <w:szCs w:val="28"/>
                <w:lang w:val="tr-TR"/>
              </w:rPr>
              <w:t>Ders İçeriği</w:t>
            </w:r>
          </w:p>
        </w:tc>
      </w:tr>
      <w:tr w:rsidR="0098163B" w:rsidRPr="00474D2F" w14:paraId="1FB2C2E5" w14:textId="77777777" w:rsidTr="008023CF">
        <w:trPr>
          <w:trHeight w:val="629"/>
        </w:trPr>
        <w:tc>
          <w:tcPr>
            <w:tcW w:w="1668" w:type="dxa"/>
            <w:shd w:val="clear" w:color="auto" w:fill="DEEAF6" w:themeFill="accent1" w:themeFillTint="33"/>
            <w:vAlign w:val="center"/>
          </w:tcPr>
          <w:p w14:paraId="0873866B" w14:textId="58FD25C8" w:rsidR="0098163B" w:rsidRPr="00474D2F" w:rsidRDefault="00031CFA" w:rsidP="00474D2F">
            <w:pPr>
              <w:spacing w:before="120" w:after="120" w:line="260" w:lineRule="atLeast"/>
              <w:jc w:val="center"/>
              <w:rPr>
                <w:rFonts w:ascii="Verdana" w:hAnsi="Verdana"/>
                <w:b/>
                <w:sz w:val="22"/>
                <w:szCs w:val="22"/>
                <w:lang w:val="tr-TR"/>
              </w:rPr>
            </w:pPr>
            <w:r w:rsidRPr="00474D2F">
              <w:rPr>
                <w:rFonts w:ascii="Verdana" w:hAnsi="Verdana"/>
                <w:b/>
                <w:sz w:val="22"/>
                <w:szCs w:val="22"/>
                <w:lang w:val="tr-TR"/>
              </w:rPr>
              <w:t>Slayt</w:t>
            </w:r>
            <w:r w:rsidR="0098163B" w:rsidRPr="00474D2F">
              <w:rPr>
                <w:rFonts w:ascii="Verdana" w:hAnsi="Verdana"/>
                <w:b/>
                <w:sz w:val="22"/>
                <w:szCs w:val="22"/>
                <w:lang w:val="tr-TR"/>
              </w:rPr>
              <w:t xml:space="preserve"> </w:t>
            </w:r>
            <w:r w:rsidRPr="00474D2F">
              <w:rPr>
                <w:rFonts w:ascii="Verdana" w:hAnsi="Verdana"/>
                <w:b/>
                <w:sz w:val="22"/>
                <w:szCs w:val="22"/>
                <w:lang w:val="tr-TR"/>
              </w:rPr>
              <w:t>N</w:t>
            </w:r>
            <w:r w:rsidR="00E96FC3" w:rsidRPr="00474D2F">
              <w:rPr>
                <w:rFonts w:ascii="Verdana" w:hAnsi="Verdana"/>
                <w:b/>
                <w:sz w:val="22"/>
                <w:szCs w:val="22"/>
                <w:lang w:val="tr-TR"/>
              </w:rPr>
              <w:t>umaraları</w:t>
            </w:r>
          </w:p>
        </w:tc>
        <w:tc>
          <w:tcPr>
            <w:tcW w:w="7342" w:type="dxa"/>
            <w:gridSpan w:val="2"/>
            <w:shd w:val="clear" w:color="auto" w:fill="DEEAF6" w:themeFill="accent1" w:themeFillTint="33"/>
            <w:vAlign w:val="center"/>
          </w:tcPr>
          <w:p w14:paraId="52F86E78" w14:textId="2B99D2FA" w:rsidR="0098163B" w:rsidRPr="00474D2F" w:rsidRDefault="00031CFA" w:rsidP="00474D2F">
            <w:pPr>
              <w:spacing w:before="120" w:after="120" w:line="260" w:lineRule="atLeast"/>
              <w:rPr>
                <w:rFonts w:ascii="Verdana" w:hAnsi="Verdana"/>
                <w:b/>
                <w:sz w:val="22"/>
                <w:szCs w:val="22"/>
                <w:lang w:val="tr-TR"/>
              </w:rPr>
            </w:pPr>
            <w:r w:rsidRPr="00474D2F">
              <w:rPr>
                <w:rFonts w:ascii="Verdana" w:hAnsi="Verdana"/>
                <w:b/>
                <w:sz w:val="22"/>
                <w:szCs w:val="22"/>
                <w:lang w:val="tr-TR"/>
              </w:rPr>
              <w:t>İçerik</w:t>
            </w:r>
          </w:p>
        </w:tc>
      </w:tr>
      <w:tr w:rsidR="0098163B" w:rsidRPr="00474D2F" w14:paraId="3A30036F" w14:textId="77777777" w:rsidTr="008023CF">
        <w:trPr>
          <w:trHeight w:val="1043"/>
        </w:trPr>
        <w:tc>
          <w:tcPr>
            <w:tcW w:w="1668" w:type="dxa"/>
            <w:vAlign w:val="center"/>
          </w:tcPr>
          <w:p w14:paraId="10DD127E" w14:textId="512BB2D0" w:rsidR="0098163B" w:rsidRPr="00474D2F" w:rsidRDefault="0098163B" w:rsidP="00474D2F">
            <w:pPr>
              <w:spacing w:before="120" w:after="120" w:line="260" w:lineRule="atLeast"/>
              <w:jc w:val="center"/>
              <w:rPr>
                <w:rFonts w:ascii="Verdana" w:hAnsi="Verdana"/>
                <w:sz w:val="18"/>
                <w:szCs w:val="18"/>
                <w:lang w:val="tr-TR"/>
              </w:rPr>
            </w:pPr>
            <w:r w:rsidRPr="00474D2F">
              <w:rPr>
                <w:rFonts w:ascii="Verdana" w:hAnsi="Verdana"/>
                <w:sz w:val="18"/>
                <w:szCs w:val="18"/>
                <w:lang w:val="tr-TR"/>
              </w:rPr>
              <w:t xml:space="preserve">1 </w:t>
            </w:r>
            <w:r w:rsidR="00FA1FD3" w:rsidRPr="00474D2F">
              <w:rPr>
                <w:rFonts w:ascii="Verdana" w:hAnsi="Verdana"/>
                <w:sz w:val="18"/>
                <w:szCs w:val="18"/>
                <w:lang w:val="tr-TR"/>
              </w:rPr>
              <w:t>-</w:t>
            </w:r>
            <w:r w:rsidRPr="00474D2F">
              <w:rPr>
                <w:rFonts w:ascii="Verdana" w:hAnsi="Verdana"/>
                <w:sz w:val="18"/>
                <w:szCs w:val="18"/>
                <w:lang w:val="tr-TR"/>
              </w:rPr>
              <w:t xml:space="preserve"> 3</w:t>
            </w:r>
          </w:p>
        </w:tc>
        <w:tc>
          <w:tcPr>
            <w:tcW w:w="7342" w:type="dxa"/>
            <w:gridSpan w:val="2"/>
            <w:vAlign w:val="center"/>
          </w:tcPr>
          <w:p w14:paraId="0AE62542" w14:textId="6E1C5D14" w:rsidR="0098163B" w:rsidRPr="00474D2F" w:rsidRDefault="00FA1FD3" w:rsidP="00474D2F">
            <w:pPr>
              <w:spacing w:before="120" w:after="120" w:line="260" w:lineRule="atLeast"/>
              <w:jc w:val="both"/>
              <w:rPr>
                <w:rFonts w:ascii="Verdana" w:hAnsi="Verdana"/>
                <w:color w:val="000000" w:themeColor="text1"/>
                <w:sz w:val="18"/>
                <w:szCs w:val="18"/>
                <w:lang w:val="tr-TR"/>
              </w:rPr>
            </w:pPr>
            <w:r w:rsidRPr="00474D2F">
              <w:rPr>
                <w:rFonts w:ascii="Verdana" w:hAnsi="Verdana"/>
                <w:color w:val="000000" w:themeColor="text1"/>
                <w:sz w:val="18"/>
                <w:szCs w:val="18"/>
                <w:lang w:val="tr-TR"/>
              </w:rPr>
              <w:t xml:space="preserve">Açılış slaytları oturuma giriş niteliğindedir ve Program ile oturum hedeflerini ve Başlangıç eğitimini hatırlatıcı bazı alt başlıkları içerir. </w:t>
            </w:r>
          </w:p>
        </w:tc>
      </w:tr>
      <w:tr w:rsidR="0098163B" w:rsidRPr="00474D2F" w14:paraId="421D75AA" w14:textId="77777777" w:rsidTr="008023CF">
        <w:trPr>
          <w:trHeight w:val="1880"/>
        </w:trPr>
        <w:tc>
          <w:tcPr>
            <w:tcW w:w="1668" w:type="dxa"/>
            <w:vAlign w:val="center"/>
          </w:tcPr>
          <w:p w14:paraId="5F00847A" w14:textId="2EBF5DF1" w:rsidR="0098163B" w:rsidRPr="00474D2F" w:rsidRDefault="0098163B" w:rsidP="00474D2F">
            <w:pPr>
              <w:spacing w:before="120" w:after="120" w:line="260" w:lineRule="atLeast"/>
              <w:jc w:val="center"/>
              <w:rPr>
                <w:rFonts w:ascii="Verdana" w:hAnsi="Verdana"/>
                <w:sz w:val="18"/>
                <w:szCs w:val="18"/>
                <w:lang w:val="tr-TR"/>
              </w:rPr>
            </w:pPr>
            <w:r w:rsidRPr="00474D2F">
              <w:rPr>
                <w:rFonts w:ascii="Verdana" w:hAnsi="Verdana"/>
                <w:sz w:val="18"/>
                <w:szCs w:val="18"/>
                <w:lang w:val="tr-TR"/>
              </w:rPr>
              <w:t xml:space="preserve">4 </w:t>
            </w:r>
            <w:r w:rsidR="00FA1FD3" w:rsidRPr="00474D2F">
              <w:rPr>
                <w:rFonts w:ascii="Verdana" w:hAnsi="Verdana"/>
                <w:sz w:val="18"/>
                <w:szCs w:val="18"/>
                <w:lang w:val="tr-TR"/>
              </w:rPr>
              <w:t>-</w:t>
            </w:r>
            <w:r w:rsidRPr="00474D2F">
              <w:rPr>
                <w:rFonts w:ascii="Verdana" w:hAnsi="Verdana"/>
                <w:sz w:val="18"/>
                <w:szCs w:val="18"/>
                <w:lang w:val="tr-TR"/>
              </w:rPr>
              <w:t xml:space="preserve"> 6</w:t>
            </w:r>
          </w:p>
        </w:tc>
        <w:tc>
          <w:tcPr>
            <w:tcW w:w="7342" w:type="dxa"/>
            <w:gridSpan w:val="2"/>
            <w:vAlign w:val="center"/>
          </w:tcPr>
          <w:p w14:paraId="7F75B31E" w14:textId="0FE16AC1" w:rsidR="00FA1FD3" w:rsidRPr="00474D2F" w:rsidRDefault="00FA1FD3" w:rsidP="00474D2F">
            <w:pPr>
              <w:pStyle w:val="Subtitle"/>
              <w:spacing w:before="120" w:line="260" w:lineRule="atLeast"/>
              <w:rPr>
                <w:rFonts w:ascii="Verdana" w:eastAsia="Times New Roman" w:hAnsi="Verdana"/>
                <w:szCs w:val="18"/>
                <w:lang w:val="tr-TR"/>
              </w:rPr>
            </w:pPr>
            <w:r w:rsidRPr="00474D2F">
              <w:rPr>
                <w:rFonts w:ascii="Verdana" w:eastAsia="Times New Roman" w:hAnsi="Verdana"/>
                <w:szCs w:val="18"/>
                <w:lang w:val="tr-TR"/>
              </w:rPr>
              <w:t xml:space="preserve">Bu slaytlar </w:t>
            </w:r>
            <w:r w:rsidR="00AE3496" w:rsidRPr="00474D2F">
              <w:rPr>
                <w:rFonts w:ascii="Verdana" w:eastAsia="Times New Roman" w:hAnsi="Verdana" w:cs="Times New Roman"/>
                <w:szCs w:val="18"/>
                <w:lang w:val="tr-TR"/>
              </w:rPr>
              <w:t xml:space="preserve">karşılıklı resmi adli yardımlaşma ve resmi olmayan adli yardımlaşma arasındaki farklar hakkında bilgi vermektedir.  </w:t>
            </w:r>
          </w:p>
          <w:p w14:paraId="55C935E5" w14:textId="5F445EFA" w:rsidR="00AE3496" w:rsidRPr="00474D2F" w:rsidRDefault="00AE3496" w:rsidP="00474D2F">
            <w:pPr>
              <w:pStyle w:val="Subtitle"/>
              <w:spacing w:before="120" w:line="260" w:lineRule="atLeast"/>
              <w:rPr>
                <w:rFonts w:ascii="Verdana" w:eastAsia="Times New Roman" w:hAnsi="Verdana"/>
                <w:szCs w:val="18"/>
                <w:lang w:val="tr-TR"/>
              </w:rPr>
            </w:pPr>
            <w:r w:rsidRPr="00474D2F">
              <w:rPr>
                <w:rFonts w:ascii="Verdana" w:eastAsia="Times New Roman" w:hAnsi="Verdana"/>
                <w:szCs w:val="18"/>
                <w:lang w:val="tr-TR"/>
              </w:rPr>
              <w:t>Resmi talepte bulunan savcılar</w:t>
            </w:r>
            <w:r w:rsidR="002D3528" w:rsidRPr="00474D2F">
              <w:rPr>
                <w:rFonts w:ascii="Verdana" w:eastAsia="Times New Roman" w:hAnsi="Verdana"/>
                <w:szCs w:val="18"/>
                <w:lang w:val="tr-TR"/>
              </w:rPr>
              <w:t>ın</w:t>
            </w:r>
            <w:r w:rsidRPr="00474D2F">
              <w:rPr>
                <w:rFonts w:ascii="Verdana" w:eastAsia="Times New Roman" w:hAnsi="Verdana"/>
                <w:szCs w:val="18"/>
                <w:lang w:val="tr-TR"/>
              </w:rPr>
              <w:t xml:space="preserve"> veya yargıçlar</w:t>
            </w:r>
            <w:r w:rsidR="002D3528" w:rsidRPr="00474D2F">
              <w:rPr>
                <w:rFonts w:ascii="Verdana" w:eastAsia="Times New Roman" w:hAnsi="Verdana"/>
                <w:szCs w:val="18"/>
                <w:lang w:val="tr-TR"/>
              </w:rPr>
              <w:t>ın her zaman</w:t>
            </w:r>
            <w:r w:rsidRPr="00474D2F">
              <w:rPr>
                <w:rFonts w:ascii="Verdana" w:eastAsia="Times New Roman" w:hAnsi="Verdana"/>
                <w:szCs w:val="18"/>
                <w:lang w:val="tr-TR"/>
              </w:rPr>
              <w:t xml:space="preserve">, talepte bulunulan devletin, uluslararası bir tasarrufun öngördüğü yükümlülüğünün bulunması halinde, uluslararası yardımlaşma yükümlülüğünü </w:t>
            </w:r>
            <w:r w:rsidR="002D3528" w:rsidRPr="00474D2F">
              <w:rPr>
                <w:rFonts w:ascii="Verdana" w:eastAsia="Times New Roman" w:hAnsi="Verdana"/>
                <w:szCs w:val="18"/>
                <w:lang w:val="tr-TR"/>
              </w:rPr>
              <w:t>ileri sürmesi</w:t>
            </w:r>
            <w:r w:rsidRPr="00474D2F">
              <w:rPr>
                <w:rFonts w:ascii="Verdana" w:eastAsia="Times New Roman" w:hAnsi="Verdana"/>
                <w:szCs w:val="18"/>
                <w:lang w:val="tr-TR"/>
              </w:rPr>
              <w:t xml:space="preserve"> </w:t>
            </w:r>
            <w:r w:rsidR="002D3528" w:rsidRPr="00474D2F">
              <w:rPr>
                <w:rFonts w:ascii="Verdana" w:eastAsia="Times New Roman" w:hAnsi="Verdana"/>
                <w:szCs w:val="18"/>
                <w:lang w:val="tr-TR"/>
              </w:rPr>
              <w:t>gerekmektedir. Aynı şekilde, talep mektubunun üzerinde yer alan makam adının anlaşılır biçimde yazılması gerekmektedir.</w:t>
            </w:r>
          </w:p>
          <w:p w14:paraId="615983AD" w14:textId="3B6AD0EC" w:rsidR="0098163B" w:rsidRPr="00474D2F" w:rsidRDefault="002D3528" w:rsidP="00474D2F">
            <w:pPr>
              <w:pStyle w:val="Subtitle"/>
              <w:spacing w:before="120" w:line="260" w:lineRule="atLeast"/>
              <w:rPr>
                <w:rFonts w:ascii="Verdana" w:eastAsia="Times New Roman" w:hAnsi="Verdana"/>
                <w:szCs w:val="18"/>
                <w:lang w:val="tr-TR"/>
              </w:rPr>
            </w:pPr>
            <w:r w:rsidRPr="00474D2F">
              <w:rPr>
                <w:rFonts w:ascii="Verdana" w:eastAsia="Times New Roman" w:hAnsi="Verdana"/>
                <w:szCs w:val="18"/>
                <w:lang w:val="tr-TR"/>
              </w:rPr>
              <w:t>İdari yar</w:t>
            </w:r>
            <w:r w:rsidR="00A000A4" w:rsidRPr="00474D2F">
              <w:rPr>
                <w:rFonts w:ascii="Verdana" w:eastAsia="Times New Roman" w:hAnsi="Verdana"/>
                <w:szCs w:val="18"/>
                <w:lang w:val="tr-TR"/>
              </w:rPr>
              <w:t>dımlaşmaya, bir devlete, delil</w:t>
            </w:r>
            <w:r w:rsidRPr="00474D2F">
              <w:rPr>
                <w:rFonts w:ascii="Verdana" w:eastAsia="Times New Roman" w:hAnsi="Verdana"/>
                <w:szCs w:val="18"/>
                <w:lang w:val="tr-TR"/>
              </w:rPr>
              <w:t xml:space="preserve"> toplanması için zorlayıcı tedbirin (örneğin arama veya mahkeme emri gibi) gerekmediği hallerde, delil toplanması talebinde bulunulduğunda da başvurulabilir ve başvurulmalıdır. Böyle bir yaklaşım gecikme riskini azaltır ve çoğu devlet tarafından tercih edilir. </w:t>
            </w:r>
          </w:p>
        </w:tc>
      </w:tr>
      <w:tr w:rsidR="0098163B" w:rsidRPr="00474D2F" w14:paraId="467CB010" w14:textId="77777777" w:rsidTr="008023CF">
        <w:trPr>
          <w:trHeight w:val="1880"/>
        </w:trPr>
        <w:tc>
          <w:tcPr>
            <w:tcW w:w="1668" w:type="dxa"/>
            <w:vAlign w:val="center"/>
          </w:tcPr>
          <w:p w14:paraId="7F37D139" w14:textId="1BEF16BD" w:rsidR="0098163B" w:rsidRPr="00474D2F" w:rsidRDefault="0098163B" w:rsidP="00474D2F">
            <w:pPr>
              <w:spacing w:before="120" w:after="120" w:line="260" w:lineRule="atLeast"/>
              <w:jc w:val="center"/>
              <w:rPr>
                <w:rFonts w:ascii="Verdana" w:hAnsi="Verdana"/>
                <w:sz w:val="18"/>
                <w:szCs w:val="18"/>
                <w:lang w:val="tr-TR"/>
              </w:rPr>
            </w:pPr>
            <w:r w:rsidRPr="00474D2F">
              <w:rPr>
                <w:rFonts w:ascii="Verdana" w:hAnsi="Verdana"/>
                <w:sz w:val="18"/>
                <w:szCs w:val="18"/>
                <w:lang w:val="tr-TR"/>
              </w:rPr>
              <w:t xml:space="preserve">7 </w:t>
            </w:r>
            <w:r w:rsidR="00FA1FD3" w:rsidRPr="00474D2F">
              <w:rPr>
                <w:rFonts w:ascii="Verdana" w:hAnsi="Verdana"/>
                <w:sz w:val="18"/>
                <w:szCs w:val="18"/>
                <w:lang w:val="tr-TR"/>
              </w:rPr>
              <w:t>-</w:t>
            </w:r>
            <w:r w:rsidRPr="00474D2F">
              <w:rPr>
                <w:rFonts w:ascii="Verdana" w:hAnsi="Verdana"/>
                <w:sz w:val="18"/>
                <w:szCs w:val="18"/>
                <w:lang w:val="tr-TR"/>
              </w:rPr>
              <w:t xml:space="preserve"> 8</w:t>
            </w:r>
          </w:p>
        </w:tc>
        <w:tc>
          <w:tcPr>
            <w:tcW w:w="7342" w:type="dxa"/>
            <w:gridSpan w:val="2"/>
            <w:vAlign w:val="center"/>
          </w:tcPr>
          <w:p w14:paraId="14DC23ED" w14:textId="6ED6C4E1" w:rsidR="002D3528" w:rsidRPr="00474D2F" w:rsidRDefault="002D3528" w:rsidP="00474D2F">
            <w:pPr>
              <w:pStyle w:val="Subtitle"/>
              <w:spacing w:before="120" w:line="260" w:lineRule="atLeast"/>
              <w:rPr>
                <w:rFonts w:ascii="Verdana" w:eastAsia="Times New Roman" w:hAnsi="Verdana"/>
                <w:szCs w:val="18"/>
                <w:lang w:val="tr-TR"/>
              </w:rPr>
            </w:pPr>
            <w:r w:rsidRPr="00474D2F">
              <w:rPr>
                <w:rFonts w:ascii="Verdana" w:eastAsia="Times New Roman" w:hAnsi="Verdana"/>
                <w:szCs w:val="18"/>
                <w:lang w:val="tr-TR"/>
              </w:rPr>
              <w:t xml:space="preserve">Bu slaytlar resmi ve resmi olmayan yardımlaşma hakkında bazı örnekler </w:t>
            </w:r>
            <w:r w:rsidR="00F71A0D" w:rsidRPr="00474D2F">
              <w:rPr>
                <w:rFonts w:ascii="Verdana" w:eastAsia="Times New Roman" w:hAnsi="Verdana"/>
                <w:szCs w:val="18"/>
                <w:lang w:val="tr-TR"/>
              </w:rPr>
              <w:t>vermektedir</w:t>
            </w:r>
            <w:r w:rsidRPr="00474D2F">
              <w:rPr>
                <w:rFonts w:ascii="Verdana" w:eastAsia="Times New Roman" w:hAnsi="Verdana"/>
                <w:szCs w:val="18"/>
                <w:lang w:val="tr-TR"/>
              </w:rPr>
              <w:t xml:space="preserve">. </w:t>
            </w:r>
          </w:p>
          <w:p w14:paraId="617DFDDF" w14:textId="69ADC684" w:rsidR="002D3528" w:rsidRPr="00474D2F" w:rsidRDefault="00F71A0D" w:rsidP="00474D2F">
            <w:pPr>
              <w:pStyle w:val="Subtitle"/>
              <w:spacing w:before="120" w:line="260" w:lineRule="atLeast"/>
              <w:rPr>
                <w:rFonts w:ascii="Verdana" w:eastAsia="Times New Roman" w:hAnsi="Verdana"/>
                <w:szCs w:val="18"/>
                <w:lang w:val="tr-TR"/>
              </w:rPr>
            </w:pPr>
            <w:r w:rsidRPr="00474D2F">
              <w:rPr>
                <w:rFonts w:ascii="Verdana" w:eastAsia="Times New Roman" w:hAnsi="Verdana"/>
                <w:szCs w:val="18"/>
                <w:lang w:val="tr-TR"/>
              </w:rPr>
              <w:t>Karşılıklı adli yardımlaşma rejiminin delil toplama amaçlı olduğu unutulmamalıdır. Bu sebeple istihbarat elde edilmesi ile şüphelilerin veya kaçakların konumlarının belirlenmesi genellikle yalnızca idari yardımlaşma aracılığıyla gerçekleş</w:t>
            </w:r>
            <w:r w:rsidR="003F25DA" w:rsidRPr="00474D2F">
              <w:rPr>
                <w:rFonts w:ascii="Verdana" w:eastAsia="Times New Roman" w:hAnsi="Verdana"/>
                <w:szCs w:val="18"/>
                <w:lang w:val="tr-TR"/>
              </w:rPr>
              <w:t xml:space="preserve">ir ki, buna yönelik bir anlaşmanın yapılması gerekir. </w:t>
            </w:r>
          </w:p>
          <w:p w14:paraId="4AA59470" w14:textId="42536C84" w:rsidR="003F25DA" w:rsidRPr="00474D2F" w:rsidRDefault="003F25DA" w:rsidP="00474D2F">
            <w:pPr>
              <w:pStyle w:val="Subtitle"/>
              <w:spacing w:before="120" w:line="260" w:lineRule="atLeast"/>
              <w:rPr>
                <w:rFonts w:ascii="Verdana" w:eastAsia="Times New Roman" w:hAnsi="Verdana"/>
                <w:szCs w:val="18"/>
                <w:lang w:val="tr-TR"/>
              </w:rPr>
            </w:pPr>
            <w:r w:rsidRPr="00474D2F">
              <w:rPr>
                <w:rFonts w:ascii="Verdana" w:eastAsia="Times New Roman" w:hAnsi="Verdana"/>
                <w:szCs w:val="18"/>
                <w:lang w:val="tr-TR"/>
              </w:rPr>
              <w:t>Resmi olmayan sorgu türlerine ilişkin kesin bir liste öngörülemese de, bazı genel değerlendirmeler yararlı görülebilir.</w:t>
            </w:r>
          </w:p>
          <w:p w14:paraId="6F12FCE4" w14:textId="6B6CB88C" w:rsidR="0098163B" w:rsidRPr="00474D2F" w:rsidRDefault="003F25DA" w:rsidP="00474D2F">
            <w:pPr>
              <w:pStyle w:val="Subtitle"/>
              <w:spacing w:before="120" w:line="260" w:lineRule="atLeast"/>
              <w:rPr>
                <w:rFonts w:ascii="Verdana" w:eastAsia="Times New Roman" w:hAnsi="Verdana"/>
                <w:szCs w:val="18"/>
                <w:lang w:val="tr-TR"/>
              </w:rPr>
            </w:pPr>
            <w:r w:rsidRPr="00474D2F">
              <w:rPr>
                <w:rFonts w:ascii="Verdana" w:eastAsia="Times New Roman" w:hAnsi="Verdana"/>
                <w:szCs w:val="18"/>
                <w:lang w:val="tr-TR"/>
              </w:rPr>
              <w:t xml:space="preserve">Ancak ülkeden ülkeye değişiklikler her zaman göz önünde bulundurulmalıdır. </w:t>
            </w:r>
          </w:p>
        </w:tc>
      </w:tr>
      <w:tr w:rsidR="0098163B" w:rsidRPr="00474D2F" w14:paraId="64C6A7D9" w14:textId="77777777" w:rsidTr="008023CF">
        <w:trPr>
          <w:trHeight w:val="1070"/>
        </w:trPr>
        <w:tc>
          <w:tcPr>
            <w:tcW w:w="1668" w:type="dxa"/>
            <w:vAlign w:val="center"/>
          </w:tcPr>
          <w:p w14:paraId="387B2BC2" w14:textId="70964D8D" w:rsidR="0098163B" w:rsidRPr="00474D2F" w:rsidRDefault="0098163B" w:rsidP="00474D2F">
            <w:pPr>
              <w:spacing w:before="120" w:after="120" w:line="260" w:lineRule="atLeast"/>
              <w:jc w:val="center"/>
              <w:rPr>
                <w:rFonts w:ascii="Verdana" w:hAnsi="Verdana"/>
                <w:sz w:val="18"/>
                <w:szCs w:val="18"/>
                <w:lang w:val="tr-TR"/>
              </w:rPr>
            </w:pPr>
            <w:r w:rsidRPr="00474D2F">
              <w:rPr>
                <w:rFonts w:ascii="Verdana" w:hAnsi="Verdana"/>
                <w:sz w:val="18"/>
                <w:szCs w:val="18"/>
                <w:lang w:val="tr-TR"/>
              </w:rPr>
              <w:t xml:space="preserve">9 </w:t>
            </w:r>
            <w:r w:rsidR="00FA1FD3" w:rsidRPr="00474D2F">
              <w:rPr>
                <w:rFonts w:ascii="Verdana" w:hAnsi="Verdana"/>
                <w:sz w:val="18"/>
                <w:szCs w:val="18"/>
                <w:lang w:val="tr-TR"/>
              </w:rPr>
              <w:t>-</w:t>
            </w:r>
            <w:r w:rsidRPr="00474D2F">
              <w:rPr>
                <w:rFonts w:ascii="Verdana" w:hAnsi="Verdana"/>
                <w:sz w:val="18"/>
                <w:szCs w:val="18"/>
                <w:lang w:val="tr-TR"/>
              </w:rPr>
              <w:t xml:space="preserve"> 12</w:t>
            </w:r>
          </w:p>
        </w:tc>
        <w:tc>
          <w:tcPr>
            <w:tcW w:w="7342" w:type="dxa"/>
            <w:gridSpan w:val="2"/>
            <w:vAlign w:val="center"/>
          </w:tcPr>
          <w:p w14:paraId="44F0B05F" w14:textId="179A27BE" w:rsidR="003F25DA" w:rsidRPr="00474D2F" w:rsidRDefault="003F25DA" w:rsidP="00474D2F">
            <w:pPr>
              <w:pStyle w:val="Subtitle"/>
              <w:spacing w:before="120" w:line="260" w:lineRule="atLeast"/>
              <w:rPr>
                <w:rFonts w:ascii="Verdana" w:eastAsia="Times New Roman" w:hAnsi="Verdana"/>
                <w:szCs w:val="18"/>
                <w:lang w:val="tr-TR"/>
              </w:rPr>
            </w:pPr>
            <w:r w:rsidRPr="00474D2F">
              <w:rPr>
                <w:rFonts w:ascii="Verdana" w:eastAsia="Times New Roman" w:hAnsi="Verdana"/>
                <w:szCs w:val="18"/>
                <w:lang w:val="tr-TR"/>
              </w:rPr>
              <w:t xml:space="preserve">Bu slaytlar resmi olmayan yardımlaşma aracılığıyla elde edilmiş delillerin kabul edilebilirliğine ve bazı </w:t>
            </w:r>
            <w:r w:rsidRPr="00474D2F">
              <w:rPr>
                <w:rFonts w:ascii="Verdana" w:eastAsia="Times New Roman" w:hAnsi="Verdana" w:cs="Times New Roman"/>
                <w:szCs w:val="18"/>
                <w:lang w:val="tr-TR"/>
              </w:rPr>
              <w:t>temel noktalar ile önerilere ilişkindir.</w:t>
            </w:r>
          </w:p>
          <w:p w14:paraId="0FF3709A" w14:textId="0F1125E2" w:rsidR="003F25DA" w:rsidRPr="00474D2F" w:rsidRDefault="003F25DA" w:rsidP="00474D2F">
            <w:pPr>
              <w:pStyle w:val="Subtitle"/>
              <w:spacing w:before="120" w:line="260" w:lineRule="atLeast"/>
              <w:rPr>
                <w:rFonts w:ascii="Verdana" w:eastAsia="Times New Roman" w:hAnsi="Verdana"/>
                <w:szCs w:val="18"/>
                <w:lang w:val="tr-TR"/>
              </w:rPr>
            </w:pPr>
            <w:r w:rsidRPr="00474D2F">
              <w:rPr>
                <w:rFonts w:ascii="Verdana" w:eastAsia="Times New Roman" w:hAnsi="Verdana"/>
                <w:szCs w:val="18"/>
                <w:lang w:val="tr-TR"/>
              </w:rPr>
              <w:t xml:space="preserve">İdari yardımlaşmaya ilişkin her türlü değerlendirme, yardımlaşmanın daha sonra resmi bir talepte bulunulmasına zemin hazırlayacak şekilde kullanımını göz ardı etmemelidir. </w:t>
            </w:r>
          </w:p>
          <w:p w14:paraId="1CF45752" w14:textId="561D544E" w:rsidR="0098163B" w:rsidRPr="00474D2F" w:rsidRDefault="00E24903" w:rsidP="00474D2F">
            <w:pPr>
              <w:pStyle w:val="Subtitle"/>
              <w:spacing w:before="120" w:line="260" w:lineRule="atLeast"/>
              <w:rPr>
                <w:rFonts w:ascii="Verdana" w:eastAsia="Times New Roman" w:hAnsi="Verdana"/>
                <w:szCs w:val="18"/>
                <w:lang w:val="tr-TR"/>
              </w:rPr>
            </w:pPr>
            <w:r w:rsidRPr="00474D2F">
              <w:rPr>
                <w:rFonts w:ascii="Verdana" w:eastAsia="Times New Roman" w:hAnsi="Verdana"/>
                <w:szCs w:val="18"/>
                <w:lang w:val="tr-TR"/>
              </w:rPr>
              <w:t xml:space="preserve">Bu unsurların dikkate alınmaması sonucu (delillerle ilgili dışlama ilkesini kabul </w:t>
            </w:r>
            <w:r w:rsidRPr="00474D2F">
              <w:rPr>
                <w:rFonts w:ascii="Verdana" w:eastAsia="Times New Roman" w:hAnsi="Verdana"/>
                <w:szCs w:val="18"/>
                <w:lang w:val="tr-TR"/>
              </w:rPr>
              <w:lastRenderedPageBreak/>
              <w:t xml:space="preserve">eden devletlerde) delilin dışlanması durumu ortaya çıkabilir; buna ek olarak fakat daha önemsiz olmamak üzere, resmi olmayan talepler aracılığıyla doğabilecek uygunsuz durumlar yabancı devlet makamlarını rahatsız edebilir ve bu makamlar daha sonraki taleplerle ilgili olarak yardımlaşmama eğilimi gösterebilir. </w:t>
            </w:r>
          </w:p>
        </w:tc>
      </w:tr>
      <w:tr w:rsidR="0098163B" w:rsidRPr="00474D2F" w14:paraId="2B1F4704" w14:textId="77777777" w:rsidTr="008023CF">
        <w:trPr>
          <w:trHeight w:val="1880"/>
        </w:trPr>
        <w:tc>
          <w:tcPr>
            <w:tcW w:w="1668" w:type="dxa"/>
            <w:vAlign w:val="center"/>
          </w:tcPr>
          <w:p w14:paraId="34221F7A" w14:textId="77777777" w:rsidR="0098163B" w:rsidRPr="00474D2F" w:rsidRDefault="0098163B" w:rsidP="00474D2F">
            <w:pPr>
              <w:spacing w:before="120" w:after="120" w:line="260" w:lineRule="atLeast"/>
              <w:jc w:val="center"/>
              <w:rPr>
                <w:rFonts w:ascii="Verdana" w:hAnsi="Verdana"/>
                <w:sz w:val="18"/>
                <w:szCs w:val="18"/>
                <w:lang w:val="tr-TR"/>
              </w:rPr>
            </w:pPr>
            <w:r w:rsidRPr="00474D2F">
              <w:rPr>
                <w:rFonts w:ascii="Verdana" w:hAnsi="Verdana"/>
                <w:sz w:val="18"/>
                <w:szCs w:val="18"/>
                <w:lang w:val="tr-TR"/>
              </w:rPr>
              <w:lastRenderedPageBreak/>
              <w:t>13 - 15</w:t>
            </w:r>
          </w:p>
        </w:tc>
        <w:tc>
          <w:tcPr>
            <w:tcW w:w="7342" w:type="dxa"/>
            <w:gridSpan w:val="2"/>
            <w:vAlign w:val="center"/>
          </w:tcPr>
          <w:p w14:paraId="7BCCA3EF" w14:textId="53F0DE96" w:rsidR="00DE16B3" w:rsidRPr="00474D2F" w:rsidRDefault="00DE16B3" w:rsidP="00474D2F">
            <w:pPr>
              <w:pStyle w:val="Subtitle"/>
              <w:spacing w:before="120" w:line="260" w:lineRule="atLeast"/>
              <w:rPr>
                <w:rFonts w:ascii="Verdana" w:eastAsia="Times New Roman" w:hAnsi="Verdana"/>
                <w:szCs w:val="18"/>
                <w:lang w:val="tr-TR"/>
              </w:rPr>
            </w:pPr>
            <w:r w:rsidRPr="00474D2F">
              <w:rPr>
                <w:rFonts w:ascii="Verdana" w:eastAsia="Times New Roman" w:hAnsi="Verdana"/>
                <w:szCs w:val="18"/>
                <w:lang w:val="tr-TR"/>
              </w:rPr>
              <w:t xml:space="preserve">Bu slaytlar resmi olmayan bilgi alışverişi ağı olarak INTERPOL kullanımı gerektiren halleri ve </w:t>
            </w:r>
            <w:r w:rsidR="00A000A4" w:rsidRPr="00474D2F">
              <w:rPr>
                <w:rFonts w:ascii="Verdana" w:eastAsia="Times New Roman" w:hAnsi="Verdana"/>
                <w:szCs w:val="18"/>
                <w:lang w:val="tr-TR"/>
              </w:rPr>
              <w:t>organizasyonu</w:t>
            </w:r>
            <w:r w:rsidRPr="00474D2F">
              <w:rPr>
                <w:rFonts w:ascii="Verdana" w:eastAsia="Times New Roman" w:hAnsi="Verdana"/>
                <w:szCs w:val="18"/>
                <w:lang w:val="tr-TR"/>
              </w:rPr>
              <w:t xml:space="preserve"> açıklamaktadır. </w:t>
            </w:r>
          </w:p>
          <w:p w14:paraId="71732722" w14:textId="5A97FAB4" w:rsidR="00DE16B3" w:rsidRPr="00474D2F" w:rsidRDefault="001354AA" w:rsidP="00474D2F">
            <w:pPr>
              <w:pStyle w:val="Subtitle"/>
              <w:spacing w:before="120" w:line="260" w:lineRule="atLeast"/>
              <w:rPr>
                <w:rFonts w:ascii="Verdana" w:eastAsia="Times New Roman" w:hAnsi="Verdana"/>
                <w:szCs w:val="18"/>
                <w:lang w:val="tr-TR"/>
              </w:rPr>
            </w:pPr>
            <w:r w:rsidRPr="00474D2F">
              <w:rPr>
                <w:rFonts w:ascii="Verdana" w:eastAsia="Times New Roman" w:hAnsi="Verdana"/>
                <w:szCs w:val="18"/>
                <w:lang w:val="tr-TR"/>
              </w:rPr>
              <w:t>Her bir üye ülkede INTERPOL Ulusal Merkez Bürosu (</w:t>
            </w:r>
            <w:r w:rsidRPr="00474D2F">
              <w:rPr>
                <w:rFonts w:ascii="Verdana" w:eastAsia="Times New Roman" w:hAnsi="Verdana"/>
                <w:i/>
                <w:szCs w:val="18"/>
                <w:lang w:val="tr-TR"/>
              </w:rPr>
              <w:t>National Central Bureau</w:t>
            </w:r>
            <w:r w:rsidRPr="00474D2F">
              <w:rPr>
                <w:rFonts w:ascii="Verdana" w:eastAsia="Times New Roman" w:hAnsi="Verdana"/>
                <w:szCs w:val="18"/>
                <w:lang w:val="tr-TR"/>
              </w:rPr>
              <w:t xml:space="preserve"> - NCB)</w:t>
            </w:r>
            <w:r w:rsidR="002B12B2" w:rsidRPr="00474D2F">
              <w:rPr>
                <w:rFonts w:ascii="Verdana" w:eastAsia="Times New Roman" w:hAnsi="Verdana"/>
                <w:szCs w:val="18"/>
                <w:lang w:val="tr-TR"/>
              </w:rPr>
              <w:t xml:space="preserve"> </w:t>
            </w:r>
            <w:r w:rsidRPr="00474D2F">
              <w:rPr>
                <w:rFonts w:ascii="Verdana" w:eastAsia="Times New Roman" w:hAnsi="Verdana"/>
                <w:szCs w:val="18"/>
                <w:lang w:val="tr-TR"/>
              </w:rPr>
              <w:t>bulunur. Bu Büro, I-24/7 olarak adlandırılan güvenli küresel polis iletişim ağı aracılığıyla ulusal kolluk teşkilatını</w:t>
            </w:r>
            <w:r w:rsidR="00A000A4" w:rsidRPr="00474D2F">
              <w:rPr>
                <w:rFonts w:ascii="Verdana" w:eastAsia="Times New Roman" w:hAnsi="Verdana"/>
                <w:szCs w:val="18"/>
                <w:lang w:val="tr-TR"/>
              </w:rPr>
              <w:t>,</w:t>
            </w:r>
            <w:r w:rsidRPr="00474D2F">
              <w:rPr>
                <w:rFonts w:ascii="Verdana" w:eastAsia="Times New Roman" w:hAnsi="Verdana"/>
                <w:szCs w:val="18"/>
                <w:lang w:val="tr-TR"/>
              </w:rPr>
              <w:t xml:space="preserve"> diğer ülkelere ve Genel Sekreterliğe  bağlar.</w:t>
            </w:r>
          </w:p>
          <w:p w14:paraId="5B2628B4" w14:textId="25FDC103" w:rsidR="002B12B2" w:rsidRPr="00474D2F" w:rsidRDefault="002B12B2" w:rsidP="00474D2F">
            <w:pPr>
              <w:pStyle w:val="Subtitle"/>
              <w:spacing w:before="120" w:line="260" w:lineRule="atLeast"/>
              <w:rPr>
                <w:rFonts w:ascii="Verdana" w:eastAsia="Times New Roman" w:hAnsi="Verdana"/>
                <w:szCs w:val="18"/>
                <w:lang w:val="tr-TR"/>
              </w:rPr>
            </w:pPr>
            <w:r w:rsidRPr="00474D2F">
              <w:rPr>
                <w:rFonts w:ascii="Verdana" w:eastAsia="Times New Roman" w:hAnsi="Verdana"/>
                <w:szCs w:val="18"/>
                <w:lang w:val="tr-TR"/>
              </w:rPr>
              <w:t>NCB’ler, ilgili ulusal mevzuata uygun olarak, ulusal ceza verileri ile küresel veri tabanlarımıza katkı sağlarlar. Bu</w:t>
            </w:r>
            <w:r w:rsidR="00407686" w:rsidRPr="00474D2F">
              <w:rPr>
                <w:rFonts w:ascii="Verdana" w:eastAsia="Times New Roman" w:hAnsi="Verdana"/>
                <w:szCs w:val="18"/>
                <w:lang w:val="tr-TR"/>
              </w:rPr>
              <w:t>,</w:t>
            </w:r>
            <w:r w:rsidRPr="00474D2F">
              <w:rPr>
                <w:rFonts w:ascii="Verdana" w:eastAsia="Times New Roman" w:hAnsi="Verdana"/>
                <w:szCs w:val="18"/>
                <w:lang w:val="tr-TR"/>
              </w:rPr>
              <w:t xml:space="preserve"> polise</w:t>
            </w:r>
            <w:r w:rsidR="00407686" w:rsidRPr="00474D2F">
              <w:rPr>
                <w:rFonts w:ascii="Verdana" w:eastAsia="Times New Roman" w:hAnsi="Verdana"/>
                <w:szCs w:val="18"/>
                <w:lang w:val="tr-TR"/>
              </w:rPr>
              <w:t>,</w:t>
            </w:r>
            <w:r w:rsidRPr="00474D2F">
              <w:rPr>
                <w:rFonts w:ascii="Verdana" w:eastAsia="Times New Roman" w:hAnsi="Verdana"/>
                <w:szCs w:val="18"/>
                <w:lang w:val="tr-TR"/>
              </w:rPr>
              <w:t xml:space="preserve"> belirli bir eğilimi tespit etme, suçu önleme veya suçluyu tutuklama </w:t>
            </w:r>
            <w:r w:rsidR="00407686" w:rsidRPr="00474D2F">
              <w:rPr>
                <w:rFonts w:ascii="Verdana" w:eastAsia="Times New Roman" w:hAnsi="Verdana"/>
                <w:szCs w:val="18"/>
                <w:lang w:val="tr-TR"/>
              </w:rPr>
              <w:t>için zaman tanıyarak doğru verilerin doğru yerde ve doğru zamanda bulunmasını sağlar. Örneğin Kırmızı Bültenler, tüm ülkelerde polisi aranan kişiler hakkında uyarır.</w:t>
            </w:r>
          </w:p>
          <w:p w14:paraId="16573880" w14:textId="788AD4C9" w:rsidR="0098163B" w:rsidRPr="00474D2F" w:rsidRDefault="00407686" w:rsidP="00474D2F">
            <w:pPr>
              <w:pStyle w:val="Subtitle"/>
              <w:spacing w:before="120" w:line="260" w:lineRule="atLeast"/>
              <w:rPr>
                <w:rFonts w:ascii="Verdana" w:eastAsia="Times New Roman" w:hAnsi="Verdana"/>
                <w:szCs w:val="18"/>
                <w:lang w:val="tr-TR"/>
              </w:rPr>
            </w:pPr>
            <w:r w:rsidRPr="00474D2F">
              <w:rPr>
                <w:rFonts w:ascii="Verdana" w:eastAsia="Times New Roman" w:hAnsi="Verdana"/>
                <w:szCs w:val="18"/>
                <w:lang w:val="tr-TR"/>
              </w:rPr>
              <w:t>NCB’ler sınır ötesi soruşturmalarda, operasyonlarda ve tutuklamalarda işbirliği gösterirler. Soruşturmaları ülke sınırları ötesine taşımak için diğer NCB’lerden işbirliği talebinde bulunurlar.</w:t>
            </w:r>
          </w:p>
        </w:tc>
      </w:tr>
      <w:tr w:rsidR="0098163B" w:rsidRPr="00474D2F" w14:paraId="3FF76C89" w14:textId="77777777" w:rsidTr="008023CF">
        <w:trPr>
          <w:trHeight w:val="1916"/>
        </w:trPr>
        <w:tc>
          <w:tcPr>
            <w:tcW w:w="1668" w:type="dxa"/>
            <w:vAlign w:val="center"/>
          </w:tcPr>
          <w:p w14:paraId="69F426FD" w14:textId="540E7E55" w:rsidR="0098163B" w:rsidRPr="00474D2F" w:rsidRDefault="0098163B" w:rsidP="00474D2F">
            <w:pPr>
              <w:spacing w:before="120" w:after="120" w:line="260" w:lineRule="atLeast"/>
              <w:jc w:val="center"/>
              <w:rPr>
                <w:rFonts w:ascii="Verdana" w:hAnsi="Verdana"/>
                <w:sz w:val="18"/>
                <w:szCs w:val="18"/>
                <w:lang w:val="tr-TR"/>
              </w:rPr>
            </w:pPr>
            <w:r w:rsidRPr="00474D2F">
              <w:rPr>
                <w:rFonts w:ascii="Verdana" w:hAnsi="Verdana"/>
                <w:sz w:val="18"/>
                <w:szCs w:val="18"/>
                <w:lang w:val="tr-TR"/>
              </w:rPr>
              <w:t xml:space="preserve">16 </w:t>
            </w:r>
            <w:r w:rsidR="00FA1FD3" w:rsidRPr="00474D2F">
              <w:rPr>
                <w:rFonts w:ascii="Verdana" w:hAnsi="Verdana"/>
                <w:sz w:val="18"/>
                <w:szCs w:val="18"/>
                <w:lang w:val="tr-TR"/>
              </w:rPr>
              <w:t>-</w:t>
            </w:r>
            <w:r w:rsidRPr="00474D2F">
              <w:rPr>
                <w:rFonts w:ascii="Verdana" w:hAnsi="Verdana"/>
                <w:sz w:val="18"/>
                <w:szCs w:val="18"/>
                <w:lang w:val="tr-TR"/>
              </w:rPr>
              <w:t xml:space="preserve"> 18</w:t>
            </w:r>
          </w:p>
        </w:tc>
        <w:tc>
          <w:tcPr>
            <w:tcW w:w="7342" w:type="dxa"/>
            <w:gridSpan w:val="2"/>
            <w:vAlign w:val="center"/>
          </w:tcPr>
          <w:p w14:paraId="011224E0" w14:textId="1BDBF4BD" w:rsidR="00407686" w:rsidRPr="00474D2F" w:rsidRDefault="00DB3EC6" w:rsidP="00474D2F">
            <w:pPr>
              <w:pStyle w:val="Subtitle"/>
              <w:spacing w:before="120" w:line="260" w:lineRule="atLeast"/>
              <w:rPr>
                <w:rFonts w:ascii="Verdana" w:eastAsia="Times New Roman" w:hAnsi="Verdana"/>
                <w:lang w:val="tr-TR"/>
              </w:rPr>
            </w:pPr>
            <w:r w:rsidRPr="00474D2F">
              <w:rPr>
                <w:rFonts w:ascii="Verdana" w:eastAsia="Times New Roman" w:hAnsi="Verdana"/>
                <w:lang w:val="tr-TR"/>
              </w:rPr>
              <w:t xml:space="preserve">Bu slaytlar karşılıklı adli yardımlaşma hakkındaki Avrupa Birliği tasarruflarını açıklamaktadır. </w:t>
            </w:r>
            <w:r w:rsidR="005E4258" w:rsidRPr="00474D2F">
              <w:rPr>
                <w:rFonts w:ascii="Verdana" w:eastAsia="Times New Roman" w:hAnsi="Verdana"/>
                <w:lang w:val="tr-TR"/>
              </w:rPr>
              <w:t xml:space="preserve">Cezai konularda yargı, kolluk ve gümrük makamları arasındaki karşılıklı yardımlaşmayı teşvik etmek ve kolaylaştırmak ile adli işbirliğinin hızını ve etkinliğini geliştirmek için 2000 yılında kabul edilen AB Sözleşmesi. Sözleşme, 1959 Ceza İşlerinde Karşılıklı Adli Yardım Avrupa Sözleşmesini ve 1978 Protokolünü tamamlamaktadır. </w:t>
            </w:r>
          </w:p>
          <w:p w14:paraId="6048C99B" w14:textId="75DCA13F" w:rsidR="005E4258" w:rsidRPr="00474D2F" w:rsidRDefault="005E4258" w:rsidP="00474D2F">
            <w:pPr>
              <w:pStyle w:val="Subtitle"/>
              <w:spacing w:before="120" w:line="260" w:lineRule="atLeast"/>
              <w:rPr>
                <w:rFonts w:ascii="Verdana" w:eastAsia="Times New Roman" w:hAnsi="Verdana"/>
                <w:szCs w:val="18"/>
                <w:lang w:val="tr-TR"/>
              </w:rPr>
            </w:pPr>
            <w:r w:rsidRPr="00474D2F">
              <w:rPr>
                <w:rFonts w:ascii="Verdana" w:eastAsia="Times New Roman" w:hAnsi="Verdana"/>
                <w:szCs w:val="18"/>
                <w:lang w:val="tr-TR"/>
              </w:rPr>
              <w:t>Bu slaytlar EUROPOL ile EC3 merkezinin çalışmalarının kapsamını aktarmaktadır.</w:t>
            </w:r>
          </w:p>
          <w:p w14:paraId="4F45B32C" w14:textId="2B89A0B8" w:rsidR="0098163B" w:rsidRPr="00474D2F" w:rsidRDefault="003A5CE4" w:rsidP="00474D2F">
            <w:pPr>
              <w:spacing w:before="120" w:after="120" w:line="260" w:lineRule="atLeast"/>
              <w:jc w:val="both"/>
              <w:rPr>
                <w:rFonts w:ascii="Verdana" w:eastAsia="Times New Roman" w:hAnsi="Verdana"/>
                <w:sz w:val="18"/>
                <w:szCs w:val="18"/>
                <w:lang w:val="tr-TR"/>
              </w:rPr>
            </w:pPr>
            <w:r w:rsidRPr="00474D2F">
              <w:rPr>
                <w:rFonts w:ascii="Verdana" w:eastAsia="Times New Roman" w:hAnsi="Verdana"/>
                <w:sz w:val="18"/>
                <w:szCs w:val="18"/>
                <w:lang w:val="tr-TR"/>
              </w:rPr>
              <w:t>Europol, Avrupa Birliği’nde siber suça cevap olarak kolluk teşkilatını güçlendirmek ve böylece Avrupa yurttaşlarını, işletmelerini ve hükümetleri</w:t>
            </w:r>
            <w:r w:rsidR="008C4BAD" w:rsidRPr="00474D2F">
              <w:rPr>
                <w:rFonts w:ascii="Verdana" w:eastAsia="Times New Roman" w:hAnsi="Verdana"/>
                <w:sz w:val="18"/>
                <w:szCs w:val="18"/>
                <w:lang w:val="tr-TR"/>
              </w:rPr>
              <w:t>ni</w:t>
            </w:r>
            <w:r w:rsidRPr="00474D2F">
              <w:rPr>
                <w:rFonts w:ascii="Verdana" w:eastAsia="Times New Roman" w:hAnsi="Verdana"/>
                <w:sz w:val="18"/>
                <w:szCs w:val="18"/>
                <w:lang w:val="tr-TR"/>
              </w:rPr>
              <w:t xml:space="preserve"> bilişim suçlarından korumak için 2013 yılında Avrupa Siber Suç Merkezini (EC3) kurmuştur. Kurulduğu tarihten beri EC3 siber suçlara karşı mücadelede önemli katkılar yapmıştır: </w:t>
            </w:r>
            <w:r w:rsidR="00D14EA1" w:rsidRPr="00474D2F">
              <w:rPr>
                <w:rFonts w:ascii="Verdana" w:eastAsia="Times New Roman" w:hAnsi="Verdana"/>
                <w:sz w:val="18"/>
                <w:szCs w:val="18"/>
                <w:lang w:val="tr-TR"/>
              </w:rPr>
              <w:t xml:space="preserve">sansasyonel </w:t>
            </w:r>
            <w:r w:rsidRPr="00474D2F">
              <w:rPr>
                <w:rFonts w:ascii="Verdana" w:eastAsia="Times New Roman" w:hAnsi="Verdana"/>
                <w:sz w:val="18"/>
                <w:szCs w:val="18"/>
                <w:lang w:val="tr-TR"/>
              </w:rPr>
              <w:t xml:space="preserve">onlarca </w:t>
            </w:r>
            <w:r w:rsidR="00C20965" w:rsidRPr="00474D2F">
              <w:rPr>
                <w:rFonts w:ascii="Verdana" w:eastAsia="Times New Roman" w:hAnsi="Verdana"/>
                <w:sz w:val="18"/>
                <w:szCs w:val="18"/>
                <w:lang w:val="tr-TR"/>
              </w:rPr>
              <w:t xml:space="preserve">operasyon içerisinde yer almış, </w:t>
            </w:r>
            <w:r w:rsidR="00D14EA1" w:rsidRPr="00474D2F">
              <w:rPr>
                <w:rFonts w:ascii="Verdana" w:eastAsia="Times New Roman" w:hAnsi="Verdana"/>
                <w:sz w:val="18"/>
                <w:szCs w:val="18"/>
                <w:lang w:val="tr-TR"/>
              </w:rPr>
              <w:t xml:space="preserve">yüzlerce tutuklama sonucu veren </w:t>
            </w:r>
            <w:r w:rsidR="00C20965" w:rsidRPr="00474D2F">
              <w:rPr>
                <w:rFonts w:ascii="Verdana" w:eastAsia="Times New Roman" w:hAnsi="Verdana"/>
                <w:sz w:val="18"/>
                <w:szCs w:val="18"/>
                <w:lang w:val="tr-TR"/>
              </w:rPr>
              <w:t xml:space="preserve">olay yerinde operasyon desteği için hazır bulunmuş ve büyük bir çoğunluğu </w:t>
            </w:r>
            <w:r w:rsidR="008C4BAD" w:rsidRPr="00474D2F">
              <w:rPr>
                <w:rFonts w:ascii="Verdana" w:eastAsia="Times New Roman" w:hAnsi="Verdana"/>
                <w:sz w:val="18"/>
                <w:szCs w:val="18"/>
                <w:lang w:val="tr-TR"/>
              </w:rPr>
              <w:t xml:space="preserve">kasti eylemler olduğu anlaşılan yüz binlerce dosya analiz etmiştir. </w:t>
            </w:r>
          </w:p>
        </w:tc>
      </w:tr>
      <w:tr w:rsidR="0098163B" w:rsidRPr="00474D2F" w14:paraId="0D7D2BAC" w14:textId="77777777" w:rsidTr="008023CF">
        <w:trPr>
          <w:trHeight w:val="890"/>
        </w:trPr>
        <w:tc>
          <w:tcPr>
            <w:tcW w:w="1668" w:type="dxa"/>
            <w:vAlign w:val="center"/>
          </w:tcPr>
          <w:p w14:paraId="120B9D89" w14:textId="7380B7A0" w:rsidR="0098163B" w:rsidRPr="00474D2F" w:rsidRDefault="0098163B" w:rsidP="00474D2F">
            <w:pPr>
              <w:spacing w:before="120" w:after="120" w:line="260" w:lineRule="atLeast"/>
              <w:jc w:val="center"/>
              <w:rPr>
                <w:rFonts w:ascii="Verdana" w:hAnsi="Verdana"/>
                <w:sz w:val="18"/>
                <w:szCs w:val="18"/>
                <w:lang w:val="tr-TR"/>
              </w:rPr>
            </w:pPr>
            <w:r w:rsidRPr="00474D2F">
              <w:rPr>
                <w:rFonts w:ascii="Verdana" w:hAnsi="Verdana"/>
                <w:sz w:val="18"/>
                <w:szCs w:val="18"/>
                <w:lang w:val="tr-TR"/>
              </w:rPr>
              <w:t xml:space="preserve">19 </w:t>
            </w:r>
            <w:r w:rsidR="00FA1FD3" w:rsidRPr="00474D2F">
              <w:rPr>
                <w:rFonts w:ascii="Verdana" w:hAnsi="Verdana"/>
                <w:sz w:val="18"/>
                <w:szCs w:val="18"/>
                <w:lang w:val="tr-TR"/>
              </w:rPr>
              <w:t>-</w:t>
            </w:r>
            <w:r w:rsidRPr="00474D2F">
              <w:rPr>
                <w:rFonts w:ascii="Verdana" w:hAnsi="Verdana"/>
                <w:sz w:val="18"/>
                <w:szCs w:val="18"/>
                <w:lang w:val="tr-TR"/>
              </w:rPr>
              <w:t xml:space="preserve"> 22 </w:t>
            </w:r>
          </w:p>
        </w:tc>
        <w:tc>
          <w:tcPr>
            <w:tcW w:w="7342" w:type="dxa"/>
            <w:gridSpan w:val="2"/>
            <w:vAlign w:val="center"/>
          </w:tcPr>
          <w:p w14:paraId="59E78424" w14:textId="6FC38AE1" w:rsidR="008C4BAD" w:rsidRPr="00474D2F" w:rsidRDefault="008C4BAD" w:rsidP="00474D2F">
            <w:pPr>
              <w:pStyle w:val="Subtitle"/>
              <w:spacing w:before="120" w:line="260" w:lineRule="atLeast"/>
              <w:rPr>
                <w:rFonts w:ascii="Verdana" w:eastAsia="Times New Roman" w:hAnsi="Verdana"/>
                <w:lang w:val="tr-TR"/>
              </w:rPr>
            </w:pPr>
            <w:r w:rsidRPr="00474D2F">
              <w:rPr>
                <w:rFonts w:ascii="Verdana" w:eastAsia="Times New Roman" w:hAnsi="Verdana"/>
                <w:lang w:val="tr-TR"/>
              </w:rPr>
              <w:t xml:space="preserve">Bu slaytlar EUROJUST çalışmalarının kapsamını aktarmaktadır. Ciddi organize suçlara karşı mücadele etmek amacıyla </w:t>
            </w:r>
            <w:r w:rsidR="00636ADE" w:rsidRPr="00474D2F">
              <w:rPr>
                <w:rFonts w:ascii="Verdana" w:eastAsia="Times New Roman" w:hAnsi="Verdana"/>
                <w:lang w:val="tr-TR"/>
              </w:rPr>
              <w:t xml:space="preserve">46 sayılı Avrupa Birliği Konseyi Sonucu uyarınca, kendi hukuk sistemine göre her bir üye devletten bağımsız ulusal savcılardan, yargıçlardan veya aynı yetkiye sahip polis memurlarından oluşan bir birimin (Eurojust) kurulması kararlaştırılmıştır. </w:t>
            </w:r>
          </w:p>
          <w:p w14:paraId="0E6B5475" w14:textId="77777777" w:rsidR="00877EB3" w:rsidRPr="00474D2F" w:rsidRDefault="00636ADE" w:rsidP="00474D2F">
            <w:pPr>
              <w:pStyle w:val="Subtitle"/>
              <w:spacing w:before="120" w:line="260" w:lineRule="atLeast"/>
              <w:rPr>
                <w:rFonts w:ascii="Verdana" w:eastAsia="Times New Roman" w:hAnsi="Verdana"/>
                <w:lang w:val="tr-TR"/>
              </w:rPr>
            </w:pPr>
            <w:r w:rsidRPr="00474D2F">
              <w:rPr>
                <w:rFonts w:ascii="Verdana" w:eastAsia="Times New Roman" w:hAnsi="Verdana"/>
                <w:lang w:val="tr-TR"/>
              </w:rPr>
              <w:t>2013 yılının Haziran ayında Avrupa Komisyonu, Avrupa Parlamentosu ve Avrupa Konseyine</w:t>
            </w:r>
            <w:r w:rsidR="004B65FE" w:rsidRPr="00474D2F">
              <w:rPr>
                <w:rFonts w:ascii="Verdana" w:eastAsia="Times New Roman" w:hAnsi="Verdana"/>
                <w:lang w:val="tr-TR"/>
              </w:rPr>
              <w:t xml:space="preserve"> 2002 yılında kurulan Eurojust’ın halefi olarak</w:t>
            </w:r>
            <w:r w:rsidRPr="00474D2F">
              <w:rPr>
                <w:rFonts w:ascii="Verdana" w:eastAsia="Times New Roman" w:hAnsi="Verdana"/>
                <w:lang w:val="tr-TR"/>
              </w:rPr>
              <w:t xml:space="preserve"> </w:t>
            </w:r>
            <w:r w:rsidR="004B65FE" w:rsidRPr="00474D2F">
              <w:rPr>
                <w:rFonts w:ascii="Verdana" w:eastAsia="Times New Roman" w:hAnsi="Verdana"/>
                <w:lang w:val="tr-TR"/>
              </w:rPr>
              <w:t>‘yeni bir Avrupa Yargısal İşbirliği Ajansı (Eurojust) için tek ve yenilenmiş bir hukuki çerçeve’ sağlayacak yeni bir tüzük önerisinde bulunmuştur.</w:t>
            </w:r>
          </w:p>
          <w:p w14:paraId="433924F9" w14:textId="794B60C5" w:rsidR="004B65FE" w:rsidRPr="00474D2F" w:rsidRDefault="004B65FE" w:rsidP="00474D2F">
            <w:pPr>
              <w:pStyle w:val="Subtitle"/>
              <w:spacing w:before="120" w:line="260" w:lineRule="atLeast"/>
              <w:rPr>
                <w:rFonts w:ascii="Verdana" w:eastAsia="Times New Roman" w:hAnsi="Verdana"/>
                <w:lang w:val="tr-TR"/>
              </w:rPr>
            </w:pPr>
            <w:r w:rsidRPr="00474D2F">
              <w:rPr>
                <w:rFonts w:ascii="Verdana" w:eastAsia="Times New Roman" w:hAnsi="Verdana"/>
                <w:szCs w:val="18"/>
                <w:lang w:val="tr-TR"/>
              </w:rPr>
              <w:t xml:space="preserve">Hollanda’nın Avrupa Birliği Dönem Başkanlığı sırasında </w:t>
            </w:r>
            <w:r w:rsidR="00877EB3" w:rsidRPr="00474D2F">
              <w:rPr>
                <w:rFonts w:ascii="Verdana" w:eastAsia="Times New Roman" w:hAnsi="Verdana"/>
                <w:szCs w:val="18"/>
                <w:lang w:val="tr-TR"/>
              </w:rPr>
              <w:t>siber suçlar, siber erişimli suçlar ve siber alem soruşturmaları kaynaklı zorlukların aşılması konusunda uzman personel arasındaki iletişimi güçlendirmek ve soruşturma ve kovuşturma etkinliğini arttırmak amacıyla Avrupa Siber Suç Yargısal Ağı (EJCN) 2016 yılında kurulmuştur.</w:t>
            </w:r>
          </w:p>
          <w:p w14:paraId="2318E7B1" w14:textId="465067D8" w:rsidR="0098163B" w:rsidRPr="00474D2F" w:rsidRDefault="00877EB3" w:rsidP="00474D2F">
            <w:pPr>
              <w:spacing w:before="120" w:afterLines="120" w:after="288" w:line="260" w:lineRule="atLeast"/>
              <w:jc w:val="both"/>
              <w:rPr>
                <w:rFonts w:ascii="Verdana" w:eastAsia="Times New Roman" w:hAnsi="Verdana"/>
                <w:sz w:val="18"/>
                <w:szCs w:val="18"/>
                <w:lang w:val="tr-TR"/>
              </w:rPr>
            </w:pPr>
            <w:r w:rsidRPr="00474D2F">
              <w:rPr>
                <w:rFonts w:ascii="Verdana" w:eastAsia="Times New Roman" w:hAnsi="Verdana"/>
                <w:sz w:val="18"/>
                <w:szCs w:val="18"/>
                <w:lang w:val="tr-TR"/>
              </w:rPr>
              <w:t xml:space="preserve">EJCN </w:t>
            </w:r>
            <w:r w:rsidR="00123E49" w:rsidRPr="00474D2F">
              <w:rPr>
                <w:rFonts w:ascii="Verdana" w:eastAsia="Times New Roman" w:hAnsi="Verdana"/>
                <w:sz w:val="18"/>
                <w:szCs w:val="18"/>
                <w:lang w:val="tr-TR"/>
              </w:rPr>
              <w:t xml:space="preserve">siber suçların soruşturulması ve kovuşturulmasıyla ilgili uzmanlığın, iyi </w:t>
            </w:r>
            <w:r w:rsidR="00123E49" w:rsidRPr="00474D2F">
              <w:rPr>
                <w:rFonts w:ascii="Verdana" w:eastAsia="Times New Roman" w:hAnsi="Verdana"/>
                <w:sz w:val="18"/>
                <w:szCs w:val="18"/>
                <w:lang w:val="tr-TR"/>
              </w:rPr>
              <w:lastRenderedPageBreak/>
              <w:t xml:space="preserve">uygulamaların ve diğer bilgilerin paylaşılmasını sağlayarak, yetkili adli makamlar arasındaki işbirliğini kolaylaştırmakta ve güçlendirmektedir. Ağ aynı zamanda siber alemde hukukun üstünlüğünü sağlamada rol oynayan çeşitli aktörler ve çıkar gruplar arasındaki diyaloğu da teşvik etmektedir. </w:t>
            </w:r>
          </w:p>
        </w:tc>
      </w:tr>
      <w:tr w:rsidR="0098163B" w:rsidRPr="00474D2F" w14:paraId="4C3B30A1" w14:textId="77777777" w:rsidTr="008023CF">
        <w:trPr>
          <w:trHeight w:val="1169"/>
        </w:trPr>
        <w:tc>
          <w:tcPr>
            <w:tcW w:w="1668" w:type="dxa"/>
            <w:vAlign w:val="center"/>
          </w:tcPr>
          <w:p w14:paraId="16012C12" w14:textId="1879CFD6" w:rsidR="0098163B" w:rsidRPr="00474D2F" w:rsidRDefault="0098163B" w:rsidP="00474D2F">
            <w:pPr>
              <w:spacing w:before="120" w:after="120" w:line="260" w:lineRule="atLeast"/>
              <w:jc w:val="center"/>
              <w:rPr>
                <w:rFonts w:ascii="Verdana" w:hAnsi="Verdana"/>
                <w:sz w:val="18"/>
                <w:szCs w:val="18"/>
                <w:lang w:val="tr-TR"/>
              </w:rPr>
            </w:pPr>
            <w:r w:rsidRPr="00474D2F">
              <w:rPr>
                <w:rFonts w:ascii="Verdana" w:hAnsi="Verdana"/>
                <w:sz w:val="18"/>
                <w:szCs w:val="18"/>
                <w:lang w:val="tr-TR"/>
              </w:rPr>
              <w:lastRenderedPageBreak/>
              <w:t xml:space="preserve">23 </w:t>
            </w:r>
            <w:r w:rsidR="00FA1FD3" w:rsidRPr="00474D2F">
              <w:rPr>
                <w:rFonts w:ascii="Verdana" w:hAnsi="Verdana"/>
                <w:sz w:val="18"/>
                <w:szCs w:val="18"/>
                <w:lang w:val="tr-TR"/>
              </w:rPr>
              <w:t>-</w:t>
            </w:r>
            <w:r w:rsidRPr="00474D2F">
              <w:rPr>
                <w:rFonts w:ascii="Verdana" w:hAnsi="Verdana"/>
                <w:sz w:val="18"/>
                <w:szCs w:val="18"/>
                <w:lang w:val="tr-TR"/>
              </w:rPr>
              <w:t xml:space="preserve"> 28</w:t>
            </w:r>
          </w:p>
        </w:tc>
        <w:tc>
          <w:tcPr>
            <w:tcW w:w="7342" w:type="dxa"/>
            <w:gridSpan w:val="2"/>
            <w:vAlign w:val="center"/>
          </w:tcPr>
          <w:p w14:paraId="620DD4A3" w14:textId="759D178C" w:rsidR="004E4172" w:rsidRPr="00474D2F" w:rsidRDefault="004E4172" w:rsidP="00474D2F">
            <w:pPr>
              <w:pStyle w:val="Subtitle"/>
              <w:spacing w:before="120" w:line="260" w:lineRule="atLeast"/>
              <w:rPr>
                <w:rFonts w:ascii="Verdana" w:hAnsi="Verdana"/>
                <w:szCs w:val="18"/>
                <w:lang w:val="tr-TR"/>
              </w:rPr>
            </w:pPr>
            <w:r w:rsidRPr="00474D2F">
              <w:rPr>
                <w:rFonts w:ascii="Verdana" w:hAnsi="Verdana"/>
                <w:szCs w:val="18"/>
                <w:lang w:val="tr-TR"/>
              </w:rPr>
              <w:t xml:space="preserve">Bu slaytlar Avrupa Konseyi 24/7 Siber Suç </w:t>
            </w:r>
            <w:r w:rsidRPr="00474D2F">
              <w:rPr>
                <w:rFonts w:ascii="Verdana" w:eastAsia="Times New Roman" w:hAnsi="Verdana" w:cs="Times New Roman"/>
                <w:szCs w:val="18"/>
                <w:lang w:val="tr-TR"/>
              </w:rPr>
              <w:t>İrtibat Noktası Ağı konusunu aktarmaktadır.</w:t>
            </w:r>
          </w:p>
          <w:p w14:paraId="269D4102" w14:textId="029F58DB" w:rsidR="004E4172" w:rsidRPr="00474D2F" w:rsidRDefault="004E4172" w:rsidP="00474D2F">
            <w:pPr>
              <w:pStyle w:val="Subtitle"/>
              <w:spacing w:before="120" w:line="260" w:lineRule="atLeast"/>
              <w:rPr>
                <w:rFonts w:ascii="Verdana" w:hAnsi="Verdana"/>
                <w:szCs w:val="18"/>
                <w:lang w:val="tr-TR"/>
              </w:rPr>
            </w:pPr>
            <w:r w:rsidRPr="00474D2F">
              <w:rPr>
                <w:rFonts w:ascii="Verdana" w:hAnsi="Verdana"/>
                <w:szCs w:val="18"/>
                <w:lang w:val="tr-TR"/>
              </w:rPr>
              <w:t>Sözleşme’nin 35. maddesi her bir taraf</w:t>
            </w:r>
            <w:r w:rsidR="00857241" w:rsidRPr="00474D2F">
              <w:rPr>
                <w:rFonts w:ascii="Verdana" w:hAnsi="Verdana"/>
                <w:szCs w:val="18"/>
                <w:lang w:val="tr-TR"/>
              </w:rPr>
              <w:t>a</w:t>
            </w:r>
            <w:r w:rsidRPr="00474D2F">
              <w:rPr>
                <w:rFonts w:ascii="Verdana" w:hAnsi="Verdana"/>
                <w:szCs w:val="18"/>
                <w:lang w:val="tr-TR"/>
              </w:rPr>
              <w:t xml:space="preserve">, bu </w:t>
            </w:r>
            <w:r w:rsidR="00857241" w:rsidRPr="00474D2F">
              <w:rPr>
                <w:rFonts w:ascii="Verdana" w:hAnsi="Verdana"/>
                <w:szCs w:val="18"/>
                <w:lang w:val="tr-TR"/>
              </w:rPr>
              <w:t xml:space="preserve">Bölüm, </w:t>
            </w:r>
            <w:r w:rsidRPr="00474D2F">
              <w:rPr>
                <w:rFonts w:ascii="Verdana" w:hAnsi="Verdana"/>
                <w:szCs w:val="18"/>
                <w:lang w:val="tr-TR"/>
              </w:rPr>
              <w:t xml:space="preserve">özellikle </w:t>
            </w:r>
            <w:r w:rsidR="00857241" w:rsidRPr="00474D2F">
              <w:rPr>
                <w:rFonts w:ascii="Verdana" w:hAnsi="Verdana"/>
                <w:szCs w:val="18"/>
                <w:lang w:val="tr-TR"/>
              </w:rPr>
              <w:t xml:space="preserve">de </w:t>
            </w:r>
            <w:r w:rsidRPr="00474D2F">
              <w:rPr>
                <w:rFonts w:ascii="Verdana" w:hAnsi="Verdana"/>
                <w:szCs w:val="18"/>
                <w:lang w:val="tr-TR"/>
              </w:rPr>
              <w:t>35. maddenin, 1. paragrafının</w:t>
            </w:r>
            <w:r w:rsidR="00857241" w:rsidRPr="00474D2F">
              <w:rPr>
                <w:rFonts w:ascii="Verdana" w:hAnsi="Verdana"/>
                <w:szCs w:val="18"/>
                <w:lang w:val="tr-TR"/>
              </w:rPr>
              <w:t xml:space="preserve"> c) bendi kapsamındaki soruşturmalarda ve takibatta acil yardımlaşmanın sağlanması amacıyla haftanın 7 günü, günün 24 saati hazır bulunacak bir irtibat noktasının belirlen</w:t>
            </w:r>
            <w:r w:rsidR="00344F4B" w:rsidRPr="00474D2F">
              <w:rPr>
                <w:rFonts w:ascii="Verdana" w:hAnsi="Verdana"/>
                <w:szCs w:val="18"/>
                <w:lang w:val="tr-TR"/>
              </w:rPr>
              <w:t xml:space="preserve">mesi yükümlülüğü öngörmektedir. </w:t>
            </w:r>
            <w:r w:rsidR="00857241" w:rsidRPr="00474D2F">
              <w:rPr>
                <w:rFonts w:ascii="Verdana" w:hAnsi="Verdana"/>
                <w:szCs w:val="18"/>
                <w:lang w:val="tr-TR"/>
              </w:rPr>
              <w:t>Tarafların, bilişim suçlarının veya bilişimle ilgili suçların kolluk teşkilatında doğurduğu zorlukla</w:t>
            </w:r>
            <w:r w:rsidR="00344F4B" w:rsidRPr="00474D2F">
              <w:rPr>
                <w:rFonts w:ascii="Verdana" w:hAnsi="Verdana"/>
                <w:szCs w:val="18"/>
                <w:lang w:val="tr-TR"/>
              </w:rPr>
              <w:t xml:space="preserve">rı etkin bir şekilde aşabilmesini sağlayacak böyle bir ağın kurulmasının, </w:t>
            </w:r>
            <w:r w:rsidR="00857241" w:rsidRPr="00474D2F">
              <w:rPr>
                <w:rFonts w:ascii="Verdana" w:hAnsi="Verdana"/>
                <w:szCs w:val="18"/>
                <w:lang w:val="tr-TR"/>
              </w:rPr>
              <w:t>Sözleşmede öngörülen e</w:t>
            </w:r>
            <w:r w:rsidR="00344F4B" w:rsidRPr="00474D2F">
              <w:rPr>
                <w:rFonts w:ascii="Verdana" w:hAnsi="Verdana"/>
                <w:szCs w:val="18"/>
                <w:lang w:val="tr-TR"/>
              </w:rPr>
              <w:t>n önemli araçlardan biri olduğu kabul edilmektedir.</w:t>
            </w:r>
          </w:p>
          <w:p w14:paraId="0378CC1D" w14:textId="24DE12DB" w:rsidR="0098163B" w:rsidRPr="00474D2F" w:rsidRDefault="00344F4B" w:rsidP="00474D2F">
            <w:pPr>
              <w:pStyle w:val="Subtitle"/>
              <w:spacing w:before="120" w:line="260" w:lineRule="atLeast"/>
              <w:rPr>
                <w:rFonts w:ascii="Verdana" w:hAnsi="Verdana"/>
                <w:szCs w:val="18"/>
                <w:lang w:val="tr-TR"/>
              </w:rPr>
            </w:pPr>
            <w:r w:rsidRPr="00474D2F">
              <w:rPr>
                <w:rFonts w:ascii="Verdana" w:hAnsi="Verdana"/>
                <w:szCs w:val="18"/>
                <w:lang w:val="tr-TR"/>
              </w:rPr>
              <w:t xml:space="preserve">Her bir Taraf, kendi kolluk teşkilatı içerisinde bu irtibat noktasını dilediği yerde konumlandırma özgürlüğüne sahiptir. Bazı Taraflar, karşılıklı yardımlaşma için 24/7 noktasını merkez birim içerisinde konumlandırmayı tercih edebilir, bazıları ise bilişim suçları veya bilişimle ilgili suçlarla mücadele konusunda uzmanlaşmış </w:t>
            </w:r>
            <w:r w:rsidR="00434A63" w:rsidRPr="00474D2F">
              <w:rPr>
                <w:rFonts w:ascii="Verdana" w:hAnsi="Verdana"/>
                <w:szCs w:val="18"/>
                <w:lang w:val="tr-TR"/>
              </w:rPr>
              <w:t xml:space="preserve">bir </w:t>
            </w:r>
            <w:r w:rsidRPr="00474D2F">
              <w:rPr>
                <w:rFonts w:ascii="Verdana" w:hAnsi="Verdana"/>
                <w:szCs w:val="18"/>
                <w:lang w:val="tr-TR"/>
              </w:rPr>
              <w:t xml:space="preserve">polis birimi ile birlikte konumlandırmanın daha doğru olacağını düşünebilir, öte yandan bir diğer tercih, </w:t>
            </w:r>
            <w:r w:rsidR="00434A63" w:rsidRPr="00474D2F">
              <w:rPr>
                <w:rFonts w:ascii="Verdana" w:hAnsi="Verdana"/>
                <w:szCs w:val="18"/>
                <w:lang w:val="tr-TR"/>
              </w:rPr>
              <w:t>başka</w:t>
            </w:r>
            <w:r w:rsidRPr="00474D2F">
              <w:rPr>
                <w:rFonts w:ascii="Verdana" w:hAnsi="Verdana"/>
                <w:szCs w:val="18"/>
                <w:lang w:val="tr-TR"/>
              </w:rPr>
              <w:t xml:space="preserve"> bir</w:t>
            </w:r>
            <w:r w:rsidR="00434A63" w:rsidRPr="00474D2F">
              <w:rPr>
                <w:rFonts w:ascii="Verdana" w:hAnsi="Verdana"/>
                <w:szCs w:val="18"/>
                <w:lang w:val="tr-TR"/>
              </w:rPr>
              <w:t xml:space="preserve"> Tarafa, idari ve hukuk sistemi uyarınca </w:t>
            </w:r>
            <w:r w:rsidRPr="00474D2F">
              <w:rPr>
                <w:rFonts w:ascii="Verdana" w:hAnsi="Verdana"/>
                <w:szCs w:val="18"/>
                <w:lang w:val="tr-TR"/>
              </w:rPr>
              <w:t>daha uygun olabilir.</w:t>
            </w:r>
          </w:p>
        </w:tc>
      </w:tr>
      <w:tr w:rsidR="0098163B" w:rsidRPr="00474D2F" w14:paraId="245862FB" w14:textId="77777777" w:rsidTr="008023CF">
        <w:trPr>
          <w:trHeight w:val="1313"/>
        </w:trPr>
        <w:tc>
          <w:tcPr>
            <w:tcW w:w="1668" w:type="dxa"/>
            <w:vAlign w:val="center"/>
          </w:tcPr>
          <w:p w14:paraId="15C55DE4" w14:textId="41B63167" w:rsidR="0098163B" w:rsidRPr="00474D2F" w:rsidRDefault="0098163B" w:rsidP="00474D2F">
            <w:pPr>
              <w:spacing w:before="120" w:after="120" w:line="260" w:lineRule="atLeast"/>
              <w:jc w:val="center"/>
              <w:rPr>
                <w:rFonts w:ascii="Verdana" w:hAnsi="Verdana"/>
                <w:sz w:val="18"/>
                <w:szCs w:val="18"/>
                <w:lang w:val="tr-TR"/>
              </w:rPr>
            </w:pPr>
            <w:r w:rsidRPr="00474D2F">
              <w:rPr>
                <w:rFonts w:ascii="Verdana" w:hAnsi="Verdana"/>
                <w:sz w:val="18"/>
                <w:szCs w:val="18"/>
                <w:lang w:val="tr-TR"/>
              </w:rPr>
              <w:t xml:space="preserve">29 </w:t>
            </w:r>
            <w:r w:rsidR="002E7D42" w:rsidRPr="00474D2F">
              <w:rPr>
                <w:rFonts w:ascii="Verdana" w:hAnsi="Verdana"/>
                <w:sz w:val="18"/>
                <w:szCs w:val="18"/>
                <w:lang w:val="tr-TR"/>
              </w:rPr>
              <w:t>-</w:t>
            </w:r>
            <w:r w:rsidRPr="00474D2F">
              <w:rPr>
                <w:rFonts w:ascii="Verdana" w:hAnsi="Verdana"/>
                <w:sz w:val="18"/>
                <w:szCs w:val="18"/>
                <w:lang w:val="tr-TR"/>
              </w:rPr>
              <w:t xml:space="preserve"> 36</w:t>
            </w:r>
          </w:p>
        </w:tc>
        <w:tc>
          <w:tcPr>
            <w:tcW w:w="7342" w:type="dxa"/>
            <w:gridSpan w:val="2"/>
            <w:vAlign w:val="center"/>
          </w:tcPr>
          <w:p w14:paraId="4FAFBFA8" w14:textId="10DBD3DB" w:rsidR="0098163B" w:rsidRPr="00474D2F" w:rsidRDefault="00344F4B" w:rsidP="00474D2F">
            <w:pPr>
              <w:spacing w:before="120" w:after="120" w:line="260" w:lineRule="atLeast"/>
              <w:rPr>
                <w:rFonts w:ascii="Verdana" w:hAnsi="Verdana"/>
                <w:sz w:val="18"/>
                <w:szCs w:val="18"/>
                <w:lang w:val="tr-TR"/>
              </w:rPr>
            </w:pPr>
            <w:r w:rsidRPr="00474D2F">
              <w:rPr>
                <w:rFonts w:ascii="Verdana" w:hAnsi="Verdana"/>
                <w:sz w:val="18"/>
                <w:szCs w:val="18"/>
                <w:lang w:val="tr-TR"/>
              </w:rPr>
              <w:t xml:space="preserve">Bu slaytlar özellikle uluslararası işbirliğinin geliştirilmesi amacıyla Avrupa Konseyi projeleri </w:t>
            </w:r>
            <w:r w:rsidR="00434A63" w:rsidRPr="00474D2F">
              <w:rPr>
                <w:rFonts w:ascii="Verdana" w:hAnsi="Verdana"/>
                <w:sz w:val="18"/>
                <w:szCs w:val="18"/>
                <w:lang w:val="tr-TR"/>
              </w:rPr>
              <w:t>kapsamındaki</w:t>
            </w:r>
            <w:r w:rsidRPr="00474D2F">
              <w:rPr>
                <w:rFonts w:ascii="Verdana" w:hAnsi="Verdana"/>
                <w:sz w:val="18"/>
                <w:szCs w:val="18"/>
                <w:lang w:val="tr-TR"/>
              </w:rPr>
              <w:t xml:space="preserve"> </w:t>
            </w:r>
            <w:r w:rsidR="00E17042" w:rsidRPr="00474D2F">
              <w:rPr>
                <w:rFonts w:ascii="Verdana" w:hAnsi="Verdana"/>
                <w:sz w:val="18"/>
                <w:szCs w:val="18"/>
                <w:lang w:val="tr-TR"/>
              </w:rPr>
              <w:t xml:space="preserve">kapasite geliştirme çabalarını aktarmaktadır. Cybercrime@EaP projeleri tarafından hazırlanan bölgesel Rapor bulguları, işbirliğinin geliştirilmesine yönelik daha pratik ve daha gerçekçi yaklaşımlar için kaynak olarak kullanılabilir. </w:t>
            </w:r>
          </w:p>
        </w:tc>
      </w:tr>
      <w:tr w:rsidR="0098163B" w:rsidRPr="00474D2F" w14:paraId="10B0F0AF" w14:textId="77777777" w:rsidTr="008023CF">
        <w:trPr>
          <w:trHeight w:val="1313"/>
        </w:trPr>
        <w:tc>
          <w:tcPr>
            <w:tcW w:w="1668" w:type="dxa"/>
            <w:vAlign w:val="center"/>
          </w:tcPr>
          <w:p w14:paraId="6DD9ED94" w14:textId="282A5F47" w:rsidR="0098163B" w:rsidRPr="00474D2F" w:rsidRDefault="0098163B" w:rsidP="00474D2F">
            <w:pPr>
              <w:spacing w:before="120" w:after="120" w:line="260" w:lineRule="atLeast"/>
              <w:jc w:val="center"/>
              <w:rPr>
                <w:rFonts w:ascii="Verdana" w:hAnsi="Verdana"/>
                <w:sz w:val="18"/>
                <w:szCs w:val="18"/>
                <w:lang w:val="tr-TR"/>
              </w:rPr>
            </w:pPr>
            <w:r w:rsidRPr="00474D2F">
              <w:rPr>
                <w:rFonts w:ascii="Verdana" w:hAnsi="Verdana"/>
                <w:sz w:val="18"/>
                <w:szCs w:val="18"/>
                <w:lang w:val="tr-TR"/>
              </w:rPr>
              <w:t xml:space="preserve">37 </w:t>
            </w:r>
            <w:r w:rsidR="00FA1FD3" w:rsidRPr="00474D2F">
              <w:rPr>
                <w:rFonts w:ascii="Verdana" w:hAnsi="Verdana"/>
                <w:sz w:val="18"/>
                <w:szCs w:val="18"/>
                <w:lang w:val="tr-TR"/>
              </w:rPr>
              <w:t>-</w:t>
            </w:r>
            <w:r w:rsidRPr="00474D2F">
              <w:rPr>
                <w:rFonts w:ascii="Verdana" w:hAnsi="Verdana"/>
                <w:sz w:val="18"/>
                <w:szCs w:val="18"/>
                <w:lang w:val="tr-TR"/>
              </w:rPr>
              <w:t xml:space="preserve"> 39</w:t>
            </w:r>
          </w:p>
        </w:tc>
        <w:tc>
          <w:tcPr>
            <w:tcW w:w="7342" w:type="dxa"/>
            <w:gridSpan w:val="2"/>
            <w:vAlign w:val="center"/>
          </w:tcPr>
          <w:p w14:paraId="07971E09" w14:textId="5464BED7" w:rsidR="00E17042" w:rsidRPr="00474D2F" w:rsidRDefault="00E17042" w:rsidP="00474D2F">
            <w:pPr>
              <w:spacing w:before="120" w:after="120" w:line="260" w:lineRule="atLeast"/>
              <w:jc w:val="both"/>
              <w:rPr>
                <w:rFonts w:ascii="Verdana" w:hAnsi="Verdana"/>
                <w:sz w:val="18"/>
                <w:szCs w:val="18"/>
                <w:lang w:val="tr-TR"/>
              </w:rPr>
            </w:pPr>
            <w:r w:rsidRPr="00474D2F">
              <w:rPr>
                <w:rFonts w:ascii="Verdana" w:hAnsi="Verdana"/>
                <w:sz w:val="18"/>
                <w:szCs w:val="18"/>
                <w:lang w:val="tr-TR"/>
              </w:rPr>
              <w:t xml:space="preserve">Son slaytlar </w:t>
            </w:r>
            <w:r w:rsidR="0040613E" w:rsidRPr="00474D2F">
              <w:rPr>
                <w:rFonts w:ascii="Verdana" w:hAnsi="Verdana"/>
                <w:sz w:val="18"/>
                <w:szCs w:val="18"/>
                <w:lang w:val="tr-TR"/>
              </w:rPr>
              <w:t>eğiticiye</w:t>
            </w:r>
            <w:r w:rsidRPr="00474D2F">
              <w:rPr>
                <w:rFonts w:ascii="Verdana" w:hAnsi="Verdana"/>
                <w:sz w:val="18"/>
                <w:szCs w:val="18"/>
                <w:lang w:val="tr-TR"/>
              </w:rPr>
              <w:t xml:space="preserve">, </w:t>
            </w:r>
            <w:r w:rsidR="0040613E" w:rsidRPr="00474D2F">
              <w:rPr>
                <w:rFonts w:ascii="Verdana" w:hAnsi="Verdana"/>
                <w:sz w:val="18"/>
                <w:szCs w:val="18"/>
                <w:lang w:val="tr-TR"/>
              </w:rPr>
              <w:t xml:space="preserve">katılımcılarla </w:t>
            </w:r>
            <w:r w:rsidRPr="00474D2F">
              <w:rPr>
                <w:rFonts w:ascii="Verdana" w:hAnsi="Verdana"/>
                <w:sz w:val="18"/>
                <w:szCs w:val="18"/>
                <w:lang w:val="tr-TR"/>
              </w:rPr>
              <w:t>birlikte öğrenme hedeflerine ulaşılıp ulaşılmadığı</w:t>
            </w:r>
            <w:r w:rsidR="00CC5217" w:rsidRPr="00474D2F">
              <w:rPr>
                <w:rFonts w:ascii="Verdana" w:hAnsi="Verdana"/>
                <w:sz w:val="18"/>
                <w:szCs w:val="18"/>
                <w:lang w:val="tr-TR"/>
              </w:rPr>
              <w:t xml:space="preserve">nı görmek için değerlendirme </w:t>
            </w:r>
            <w:r w:rsidR="0040613E" w:rsidRPr="00474D2F">
              <w:rPr>
                <w:rFonts w:ascii="Verdana" w:hAnsi="Verdana"/>
                <w:sz w:val="18"/>
                <w:szCs w:val="18"/>
                <w:lang w:val="tr-TR"/>
              </w:rPr>
              <w:t>imkânı</w:t>
            </w:r>
            <w:r w:rsidRPr="00474D2F">
              <w:rPr>
                <w:rFonts w:ascii="Verdana" w:hAnsi="Verdana"/>
                <w:sz w:val="18"/>
                <w:szCs w:val="18"/>
                <w:lang w:val="tr-TR"/>
              </w:rPr>
              <w:t xml:space="preserve"> tanımaktadır.</w:t>
            </w:r>
            <w:r w:rsidR="00CC5217" w:rsidRPr="00474D2F">
              <w:rPr>
                <w:rFonts w:ascii="Verdana" w:hAnsi="Verdana"/>
                <w:sz w:val="18"/>
                <w:szCs w:val="18"/>
                <w:lang w:val="tr-TR"/>
              </w:rPr>
              <w:t xml:space="preserve"> Bu aynı zamanda katılımcılara, öne çıkan hususları veya tam olarak anlaşılmayan konuları</w:t>
            </w:r>
            <w:r w:rsidRPr="00474D2F">
              <w:rPr>
                <w:rFonts w:ascii="Verdana" w:hAnsi="Verdana"/>
                <w:sz w:val="18"/>
                <w:szCs w:val="18"/>
                <w:lang w:val="tr-TR"/>
              </w:rPr>
              <w:t xml:space="preserve"> </w:t>
            </w:r>
            <w:r w:rsidR="00CC5217" w:rsidRPr="00474D2F">
              <w:rPr>
                <w:rFonts w:ascii="Verdana" w:hAnsi="Verdana"/>
                <w:sz w:val="18"/>
                <w:szCs w:val="18"/>
                <w:lang w:val="tr-TR"/>
              </w:rPr>
              <w:t xml:space="preserve">tartışmaları için de olanak sağlar.  </w:t>
            </w:r>
          </w:p>
          <w:p w14:paraId="25FDB261" w14:textId="357CD2E0" w:rsidR="0098163B" w:rsidRPr="00474D2F" w:rsidRDefault="00CC5217" w:rsidP="00474D2F">
            <w:pPr>
              <w:spacing w:before="120" w:after="120" w:line="260" w:lineRule="atLeast"/>
              <w:jc w:val="both"/>
              <w:rPr>
                <w:rFonts w:ascii="Verdana" w:hAnsi="Verdana"/>
                <w:sz w:val="18"/>
                <w:szCs w:val="18"/>
                <w:lang w:val="tr-TR"/>
              </w:rPr>
            </w:pPr>
            <w:r w:rsidRPr="00474D2F">
              <w:rPr>
                <w:rFonts w:ascii="Verdana" w:hAnsi="Verdana"/>
                <w:sz w:val="18"/>
                <w:szCs w:val="18"/>
                <w:lang w:val="tr-TR"/>
              </w:rPr>
              <w:t>Buna ek olarak eğit</w:t>
            </w:r>
            <w:r w:rsidR="0040613E" w:rsidRPr="00474D2F">
              <w:rPr>
                <w:rFonts w:ascii="Verdana" w:hAnsi="Verdana"/>
                <w:sz w:val="18"/>
                <w:szCs w:val="18"/>
                <w:lang w:val="tr-TR"/>
              </w:rPr>
              <w:t>ici</w:t>
            </w:r>
            <w:r w:rsidRPr="00474D2F">
              <w:rPr>
                <w:rFonts w:ascii="Verdana" w:hAnsi="Verdana"/>
                <w:sz w:val="18"/>
                <w:szCs w:val="18"/>
                <w:lang w:val="tr-TR"/>
              </w:rPr>
              <w:t xml:space="preserve"> oturumu, katılımcılara sorular sorarak bilgilerini ölçmek için de kullanabilir. Bu ders için resmi bir değerlendirme yapılmayacağından bu ölçüm önemlidir. </w:t>
            </w:r>
          </w:p>
        </w:tc>
      </w:tr>
      <w:tr w:rsidR="0098163B" w:rsidRPr="00474D2F" w14:paraId="515B604B" w14:textId="77777777" w:rsidTr="001C2AF1">
        <w:trPr>
          <w:trHeight w:val="890"/>
        </w:trPr>
        <w:tc>
          <w:tcPr>
            <w:tcW w:w="9010" w:type="dxa"/>
            <w:gridSpan w:val="3"/>
            <w:vAlign w:val="center"/>
          </w:tcPr>
          <w:p w14:paraId="6F0E1AF3" w14:textId="13D0E9EC" w:rsidR="0098163B" w:rsidRPr="00474D2F" w:rsidRDefault="00E96FC3" w:rsidP="00474D2F">
            <w:pPr>
              <w:spacing w:before="120" w:after="120" w:line="260" w:lineRule="atLeast"/>
              <w:rPr>
                <w:rFonts w:ascii="Verdana" w:hAnsi="Verdana"/>
                <w:b/>
                <w:sz w:val="22"/>
                <w:szCs w:val="22"/>
                <w:lang w:val="tr-TR"/>
              </w:rPr>
            </w:pPr>
            <w:r w:rsidRPr="00474D2F">
              <w:rPr>
                <w:rFonts w:ascii="Verdana" w:hAnsi="Verdana"/>
                <w:b/>
                <w:sz w:val="22"/>
                <w:szCs w:val="22"/>
                <w:lang w:val="tr-TR"/>
              </w:rPr>
              <w:t>Uygulamalı Egzersizler</w:t>
            </w:r>
          </w:p>
          <w:p w14:paraId="0B2CD105" w14:textId="50AAB130" w:rsidR="0098163B" w:rsidRPr="00474D2F" w:rsidRDefault="00CC5217" w:rsidP="00474D2F">
            <w:pPr>
              <w:spacing w:before="120" w:after="120" w:line="260" w:lineRule="atLeast"/>
              <w:rPr>
                <w:rFonts w:ascii="Verdana" w:hAnsi="Verdana"/>
                <w:color w:val="000000" w:themeColor="text1"/>
                <w:sz w:val="18"/>
                <w:szCs w:val="18"/>
                <w:lang w:val="tr-TR"/>
              </w:rPr>
            </w:pPr>
            <w:r w:rsidRPr="00474D2F">
              <w:rPr>
                <w:rFonts w:ascii="Verdana" w:hAnsi="Verdana"/>
                <w:color w:val="000000" w:themeColor="text1"/>
                <w:sz w:val="18"/>
                <w:szCs w:val="18"/>
                <w:lang w:val="tr-TR"/>
              </w:rPr>
              <w:t xml:space="preserve">Bu ders için </w:t>
            </w:r>
            <w:r w:rsidR="00DB46A6" w:rsidRPr="00474D2F">
              <w:rPr>
                <w:rFonts w:ascii="Verdana" w:hAnsi="Verdana"/>
                <w:color w:val="000000" w:themeColor="text1"/>
                <w:sz w:val="18"/>
                <w:szCs w:val="18"/>
                <w:lang w:val="tr-TR"/>
              </w:rPr>
              <w:t>uygulamalı egzersiz</w:t>
            </w:r>
            <w:r w:rsidRPr="00474D2F">
              <w:rPr>
                <w:rFonts w:ascii="Verdana" w:hAnsi="Verdana"/>
                <w:color w:val="000000" w:themeColor="text1"/>
                <w:sz w:val="18"/>
                <w:szCs w:val="18"/>
                <w:lang w:val="tr-TR"/>
              </w:rPr>
              <w:t xml:space="preserve"> öngörülmemiştir.</w:t>
            </w:r>
          </w:p>
        </w:tc>
      </w:tr>
      <w:tr w:rsidR="0098163B" w:rsidRPr="00474D2F" w14:paraId="3201B511" w14:textId="77777777" w:rsidTr="001C2AF1">
        <w:tc>
          <w:tcPr>
            <w:tcW w:w="9010" w:type="dxa"/>
            <w:gridSpan w:val="3"/>
            <w:vAlign w:val="center"/>
          </w:tcPr>
          <w:p w14:paraId="3989EEEB" w14:textId="3F5C6FF4" w:rsidR="0098163B" w:rsidRPr="00474D2F" w:rsidRDefault="00FA1FD3" w:rsidP="00474D2F">
            <w:pPr>
              <w:spacing w:before="120" w:after="120" w:line="260" w:lineRule="atLeast"/>
              <w:rPr>
                <w:rFonts w:ascii="Verdana" w:hAnsi="Verdana"/>
                <w:b/>
                <w:sz w:val="22"/>
                <w:szCs w:val="22"/>
                <w:lang w:val="tr-TR"/>
              </w:rPr>
            </w:pPr>
            <w:r w:rsidRPr="00474D2F">
              <w:rPr>
                <w:rFonts w:ascii="Verdana" w:hAnsi="Verdana"/>
                <w:b/>
                <w:sz w:val="22"/>
                <w:szCs w:val="22"/>
                <w:lang w:val="tr-TR"/>
              </w:rPr>
              <w:t>Değerlendirme</w:t>
            </w:r>
            <w:r w:rsidR="0098163B" w:rsidRPr="00474D2F">
              <w:rPr>
                <w:rFonts w:ascii="Verdana" w:hAnsi="Verdana"/>
                <w:b/>
                <w:sz w:val="22"/>
                <w:szCs w:val="22"/>
                <w:lang w:val="tr-TR"/>
              </w:rPr>
              <w:t>/</w:t>
            </w:r>
            <w:r w:rsidRPr="00474D2F">
              <w:rPr>
                <w:rFonts w:ascii="Verdana" w:hAnsi="Verdana"/>
                <w:b/>
                <w:sz w:val="22"/>
                <w:szCs w:val="22"/>
                <w:lang w:val="tr-TR"/>
              </w:rPr>
              <w:t xml:space="preserve">Bilgi </w:t>
            </w:r>
            <w:r w:rsidR="00E96FC3" w:rsidRPr="00474D2F">
              <w:rPr>
                <w:rFonts w:ascii="Verdana" w:hAnsi="Verdana"/>
                <w:b/>
                <w:sz w:val="22"/>
                <w:szCs w:val="22"/>
                <w:lang w:val="tr-TR"/>
              </w:rPr>
              <w:t xml:space="preserve">Kontrolü </w:t>
            </w:r>
          </w:p>
          <w:p w14:paraId="7B9F86C2" w14:textId="2165FD12" w:rsidR="0098163B" w:rsidRPr="00474D2F" w:rsidRDefault="00CC5217" w:rsidP="00474D2F">
            <w:pPr>
              <w:spacing w:before="120" w:after="120" w:line="260" w:lineRule="atLeast"/>
              <w:rPr>
                <w:rFonts w:ascii="Verdana" w:hAnsi="Verdana"/>
                <w:color w:val="000000" w:themeColor="text1"/>
                <w:sz w:val="18"/>
                <w:szCs w:val="18"/>
                <w:lang w:val="tr-TR"/>
              </w:rPr>
            </w:pPr>
            <w:r w:rsidRPr="00474D2F">
              <w:rPr>
                <w:rFonts w:ascii="Verdana" w:hAnsi="Verdana"/>
                <w:color w:val="000000" w:themeColor="text1"/>
                <w:sz w:val="18"/>
                <w:szCs w:val="18"/>
                <w:lang w:val="tr-TR"/>
              </w:rPr>
              <w:t xml:space="preserve">Bu oturum için bilgi </w:t>
            </w:r>
            <w:r w:rsidR="00DB46A6" w:rsidRPr="00474D2F">
              <w:rPr>
                <w:rFonts w:ascii="Verdana" w:hAnsi="Verdana"/>
                <w:color w:val="000000" w:themeColor="text1"/>
                <w:sz w:val="18"/>
                <w:szCs w:val="18"/>
                <w:lang w:val="tr-TR"/>
              </w:rPr>
              <w:t xml:space="preserve">kontrolü </w:t>
            </w:r>
            <w:r w:rsidRPr="00474D2F">
              <w:rPr>
                <w:rFonts w:ascii="Verdana" w:hAnsi="Verdana"/>
                <w:color w:val="000000" w:themeColor="text1"/>
                <w:sz w:val="18"/>
                <w:szCs w:val="18"/>
                <w:lang w:val="tr-TR"/>
              </w:rPr>
              <w:t xml:space="preserve">veya değerlendirme </w:t>
            </w:r>
            <w:r w:rsidR="00DB46A6" w:rsidRPr="00474D2F">
              <w:rPr>
                <w:rFonts w:ascii="Verdana" w:hAnsi="Verdana"/>
                <w:color w:val="000000" w:themeColor="text1"/>
                <w:sz w:val="18"/>
                <w:szCs w:val="18"/>
                <w:lang w:val="tr-TR"/>
              </w:rPr>
              <w:t>istenmemiştir</w:t>
            </w:r>
            <w:r w:rsidRPr="00474D2F">
              <w:rPr>
                <w:rFonts w:ascii="Verdana" w:hAnsi="Verdana"/>
                <w:color w:val="000000" w:themeColor="text1"/>
                <w:sz w:val="18"/>
                <w:szCs w:val="18"/>
                <w:lang w:val="tr-TR"/>
              </w:rPr>
              <w:t>.</w:t>
            </w:r>
          </w:p>
        </w:tc>
      </w:tr>
    </w:tbl>
    <w:p w14:paraId="068C18EF" w14:textId="77777777" w:rsidR="0098163B" w:rsidRPr="00474D2F" w:rsidRDefault="0098163B" w:rsidP="00474D2F">
      <w:pPr>
        <w:spacing w:before="120" w:after="120" w:line="260" w:lineRule="atLeast"/>
        <w:rPr>
          <w:rFonts w:ascii="Verdana" w:hAnsi="Verdana"/>
          <w:lang w:val="tr-TR"/>
        </w:rPr>
      </w:pPr>
    </w:p>
    <w:p w14:paraId="47A52E70" w14:textId="77777777" w:rsidR="00733309" w:rsidRPr="00474D2F" w:rsidRDefault="00733309" w:rsidP="00474D2F">
      <w:pPr>
        <w:spacing w:before="120" w:after="120" w:line="260" w:lineRule="atLeast"/>
        <w:rPr>
          <w:rFonts w:ascii="Verdana" w:hAnsi="Verdana"/>
          <w:lang w:val="tr-TR"/>
        </w:rPr>
      </w:pPr>
    </w:p>
    <w:sectPr w:rsidR="00733309" w:rsidRPr="00474D2F" w:rsidSect="001C2AF1">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altName w:val="Times New Roman"/>
    <w:panose1 w:val="020B0804030504040204"/>
    <w:charset w:val="00"/>
    <w:family w:val="auto"/>
    <w:pitch w:val="variable"/>
    <w:sig w:usb0="00000001"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A11B58"/>
    <w:multiLevelType w:val="hybridMultilevel"/>
    <w:tmpl w:val="46AC9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4237C8"/>
    <w:multiLevelType w:val="hybridMultilevel"/>
    <w:tmpl w:val="5B4A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63B"/>
    <w:rsid w:val="00005411"/>
    <w:rsid w:val="00031CFA"/>
    <w:rsid w:val="00097689"/>
    <w:rsid w:val="000C29F6"/>
    <w:rsid w:val="00123E49"/>
    <w:rsid w:val="001354AA"/>
    <w:rsid w:val="001C2AF1"/>
    <w:rsid w:val="002B12B2"/>
    <w:rsid w:val="002D3528"/>
    <w:rsid w:val="002E7D42"/>
    <w:rsid w:val="003074B6"/>
    <w:rsid w:val="00344F4B"/>
    <w:rsid w:val="00351437"/>
    <w:rsid w:val="003A3870"/>
    <w:rsid w:val="003A5CE4"/>
    <w:rsid w:val="003F25DA"/>
    <w:rsid w:val="0040613E"/>
    <w:rsid w:val="00407686"/>
    <w:rsid w:val="00434A63"/>
    <w:rsid w:val="00474D2F"/>
    <w:rsid w:val="004B65FE"/>
    <w:rsid w:val="004E4172"/>
    <w:rsid w:val="00565C8A"/>
    <w:rsid w:val="005C3E7D"/>
    <w:rsid w:val="005E4258"/>
    <w:rsid w:val="0061289D"/>
    <w:rsid w:val="0061768A"/>
    <w:rsid w:val="00636ADE"/>
    <w:rsid w:val="006C6692"/>
    <w:rsid w:val="007144BA"/>
    <w:rsid w:val="00733309"/>
    <w:rsid w:val="00770425"/>
    <w:rsid w:val="007817D6"/>
    <w:rsid w:val="008023CF"/>
    <w:rsid w:val="00811095"/>
    <w:rsid w:val="00857241"/>
    <w:rsid w:val="00877EB3"/>
    <w:rsid w:val="008C4BAD"/>
    <w:rsid w:val="0098163B"/>
    <w:rsid w:val="00A000A4"/>
    <w:rsid w:val="00A27F54"/>
    <w:rsid w:val="00AA7E67"/>
    <w:rsid w:val="00AD706E"/>
    <w:rsid w:val="00AE3496"/>
    <w:rsid w:val="00C20965"/>
    <w:rsid w:val="00C62E87"/>
    <w:rsid w:val="00CC5217"/>
    <w:rsid w:val="00D14EA1"/>
    <w:rsid w:val="00D15272"/>
    <w:rsid w:val="00D743B9"/>
    <w:rsid w:val="00DB3EC6"/>
    <w:rsid w:val="00DB46A6"/>
    <w:rsid w:val="00DE16B3"/>
    <w:rsid w:val="00E17042"/>
    <w:rsid w:val="00E24903"/>
    <w:rsid w:val="00E96FC3"/>
    <w:rsid w:val="00F71A0D"/>
    <w:rsid w:val="00FA1FD3"/>
    <w:rsid w:val="00FF65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A6388E"/>
  <w15:docId w15:val="{FB234582-F630-4203-817C-518D4B85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63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163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163B"/>
    <w:pPr>
      <w:ind w:left="720"/>
      <w:contextualSpacing/>
    </w:pPr>
  </w:style>
  <w:style w:type="paragraph" w:customStyle="1" w:styleId="bul1">
    <w:name w:val="bul1"/>
    <w:basedOn w:val="Normal"/>
    <w:link w:val="bul1Char"/>
    <w:qFormat/>
    <w:rsid w:val="0098163B"/>
    <w:pPr>
      <w:numPr>
        <w:numId w:val="2"/>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98163B"/>
    <w:rPr>
      <w:rFonts w:ascii="Verdana" w:eastAsia="Calibri" w:hAnsi="Verdana" w:cs="Times New Roman"/>
      <w:sz w:val="18"/>
      <w:szCs w:val="24"/>
      <w:lang w:val="de-DE" w:eastAsia="de-DE"/>
    </w:rPr>
  </w:style>
  <w:style w:type="paragraph" w:styleId="Subtitle">
    <w:name w:val="Subtitle"/>
    <w:basedOn w:val="Normal"/>
    <w:next w:val="Normal"/>
    <w:link w:val="SubtitleChar"/>
    <w:uiPriority w:val="11"/>
    <w:qFormat/>
    <w:rsid w:val="0098163B"/>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98163B"/>
    <w:rPr>
      <w:rFonts w:ascii="Verdana Bold" w:eastAsiaTheme="majorEastAsia" w:hAnsi="Verdana Bold" w:cstheme="majorBidi"/>
      <w:iCs/>
      <w:color w:val="000000" w:themeColor="text1"/>
      <w:sz w:val="18"/>
      <w:szCs w:val="24"/>
    </w:rPr>
  </w:style>
  <w:style w:type="paragraph" w:styleId="BalloonText">
    <w:name w:val="Balloon Text"/>
    <w:basedOn w:val="Normal"/>
    <w:link w:val="BalloonTextChar"/>
    <w:uiPriority w:val="99"/>
    <w:semiHidden/>
    <w:unhideWhenUsed/>
    <w:rsid w:val="00E96F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F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86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1472</Words>
  <Characters>8397</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ERENOGLU CONSULTANCY TRANSLATION</dc:creator>
  <cp:keywords/>
  <dc:description>ERENOGLU CONSULTANCY TRANSLATION_x000d_
GSM    : (+90 532) 235 58 23_x000d_
Tel         : (+90 312) 441 91 00 (pbx)_x000d_
Web      : www.erenoglu.com.tr_x000d_
e-mail   : erenoglu@erenoglu.com.tr_x000d_
ANKARA – TURKIYE (TURKEY)_x000d_
</dc:description>
  <cp:lastModifiedBy>CEAUSU Diana</cp:lastModifiedBy>
  <cp:revision>7</cp:revision>
  <dcterms:created xsi:type="dcterms:W3CDTF">2021-03-28T15:40:00Z</dcterms:created>
  <dcterms:modified xsi:type="dcterms:W3CDTF">2021-05-04T12:05:00Z</dcterms:modified>
</cp:coreProperties>
</file>