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C3522" w14:textId="77777777" w:rsidR="00BA319A" w:rsidRPr="008E28F6" w:rsidRDefault="007A0F13" w:rsidP="008E28F6">
      <w:pPr>
        <w:spacing w:before="120" w:after="120" w:line="260" w:lineRule="atLeast"/>
        <w:jc w:val="both"/>
        <w:rPr>
          <w:rFonts w:ascii="Verdana" w:hAnsi="Verdana"/>
          <w:b/>
          <w:bCs/>
          <w:color w:val="000000" w:themeColor="text1"/>
          <w:sz w:val="28"/>
          <w:szCs w:val="28"/>
        </w:rPr>
      </w:pPr>
      <w:r w:rsidRPr="008E28F6">
        <w:rPr>
          <w:rFonts w:ascii="Verdana" w:hAnsi="Verdana"/>
          <w:b/>
          <w:bCs/>
          <w:sz w:val="28"/>
          <w:szCs w:val="28"/>
        </w:rPr>
        <w:t>Ders</w:t>
      </w:r>
      <w:r w:rsidR="00B3608C" w:rsidRPr="008E28F6">
        <w:rPr>
          <w:rFonts w:ascii="Verdana" w:hAnsi="Verdana"/>
          <w:b/>
          <w:bCs/>
          <w:sz w:val="28"/>
          <w:szCs w:val="28"/>
        </w:rPr>
        <w:t xml:space="preserve"> </w:t>
      </w:r>
      <w:r w:rsidR="00260809" w:rsidRPr="008E28F6">
        <w:rPr>
          <w:rFonts w:ascii="Verdana" w:hAnsi="Verdana"/>
          <w:b/>
          <w:bCs/>
          <w:sz w:val="28"/>
          <w:szCs w:val="28"/>
        </w:rPr>
        <w:t>2</w:t>
      </w:r>
      <w:r w:rsidR="00C115FC" w:rsidRPr="008E28F6">
        <w:rPr>
          <w:rFonts w:ascii="Verdana" w:hAnsi="Verdana"/>
          <w:b/>
          <w:bCs/>
          <w:sz w:val="28"/>
          <w:szCs w:val="28"/>
        </w:rPr>
        <w:t>.</w:t>
      </w:r>
      <w:r w:rsidR="00BA319A" w:rsidRPr="008E28F6">
        <w:rPr>
          <w:rFonts w:ascii="Verdana" w:hAnsi="Verdana"/>
          <w:b/>
          <w:bCs/>
          <w:sz w:val="28"/>
          <w:szCs w:val="28"/>
        </w:rPr>
        <w:t>3</w:t>
      </w:r>
      <w:r w:rsidR="00D82C18" w:rsidRPr="008E28F6">
        <w:rPr>
          <w:rFonts w:ascii="Verdana" w:hAnsi="Verdana"/>
          <w:b/>
          <w:bCs/>
          <w:sz w:val="28"/>
          <w:szCs w:val="28"/>
        </w:rPr>
        <w:t xml:space="preserve"> </w:t>
      </w:r>
      <w:r w:rsidRPr="008E28F6">
        <w:rPr>
          <w:rFonts w:ascii="Verdana" w:hAnsi="Verdana"/>
          <w:b/>
          <w:bCs/>
          <w:color w:val="000000" w:themeColor="text1"/>
          <w:sz w:val="28"/>
          <w:szCs w:val="28"/>
        </w:rPr>
        <w:t xml:space="preserve">Uluslararası İşbirliği Mekanizmaları </w:t>
      </w:r>
      <w:r w:rsidR="00392092" w:rsidRPr="008E28F6">
        <w:rPr>
          <w:rFonts w:ascii="Verdana" w:hAnsi="Verdana"/>
          <w:b/>
          <w:bCs/>
          <w:color w:val="000000" w:themeColor="text1"/>
          <w:sz w:val="28"/>
          <w:szCs w:val="28"/>
        </w:rPr>
        <w:t xml:space="preserve">Aracılığıyla </w:t>
      </w:r>
      <w:r w:rsidRPr="008E28F6">
        <w:rPr>
          <w:rFonts w:ascii="Verdana" w:hAnsi="Verdana"/>
          <w:b/>
          <w:bCs/>
          <w:color w:val="000000" w:themeColor="text1"/>
          <w:sz w:val="28"/>
          <w:szCs w:val="28"/>
        </w:rPr>
        <w:t xml:space="preserve">Elektronik </w:t>
      </w:r>
      <w:r w:rsidR="00392092" w:rsidRPr="008E28F6">
        <w:rPr>
          <w:rFonts w:ascii="Verdana" w:hAnsi="Verdana"/>
          <w:b/>
          <w:bCs/>
          <w:color w:val="000000" w:themeColor="text1"/>
          <w:sz w:val="28"/>
          <w:szCs w:val="28"/>
        </w:rPr>
        <w:t xml:space="preserve">Delil </w:t>
      </w:r>
      <w:r w:rsidR="007658A9" w:rsidRPr="008E28F6">
        <w:rPr>
          <w:rFonts w:ascii="Verdana" w:hAnsi="Verdana"/>
          <w:b/>
          <w:bCs/>
          <w:color w:val="000000" w:themeColor="text1"/>
          <w:sz w:val="28"/>
          <w:szCs w:val="28"/>
        </w:rPr>
        <w:t>Elde Edilmesi</w:t>
      </w:r>
      <w:r w:rsidR="00BA319A" w:rsidRPr="008E28F6">
        <w:rPr>
          <w:rFonts w:ascii="Verdana" w:hAnsi="Verdana"/>
          <w:b/>
          <w:bCs/>
          <w:color w:val="000000" w:themeColor="text1"/>
          <w:sz w:val="28"/>
          <w:szCs w:val="28"/>
        </w:rPr>
        <w:t xml:space="preserve"> </w:t>
      </w:r>
    </w:p>
    <w:p w14:paraId="47DF19B7" w14:textId="77777777" w:rsidR="00C115FC" w:rsidRPr="008E28F6" w:rsidRDefault="00C115FC" w:rsidP="008E28F6">
      <w:pPr>
        <w:spacing w:before="120" w:after="120" w:line="260" w:lineRule="atLeast"/>
        <w:rPr>
          <w:rFonts w:ascii="Verdana" w:hAnsi="Verdana"/>
        </w:rPr>
      </w:pPr>
    </w:p>
    <w:tbl>
      <w:tblPr>
        <w:tblStyle w:val="TableGrid"/>
        <w:tblW w:w="0" w:type="auto"/>
        <w:tblLayout w:type="fixed"/>
        <w:tblLook w:val="04A0" w:firstRow="1" w:lastRow="0" w:firstColumn="1" w:lastColumn="0" w:noHBand="0" w:noVBand="1"/>
      </w:tblPr>
      <w:tblGrid>
        <w:gridCol w:w="1668"/>
        <w:gridCol w:w="5177"/>
        <w:gridCol w:w="2165"/>
      </w:tblGrid>
      <w:tr w:rsidR="00C115FC" w:rsidRPr="008E28F6" w14:paraId="6427C73E" w14:textId="77777777" w:rsidTr="00F1574D">
        <w:trPr>
          <w:trHeight w:val="872"/>
        </w:trPr>
        <w:tc>
          <w:tcPr>
            <w:tcW w:w="6845" w:type="dxa"/>
            <w:gridSpan w:val="2"/>
            <w:shd w:val="clear" w:color="auto" w:fill="DEEAF6" w:themeFill="accent5" w:themeFillTint="33"/>
            <w:vAlign w:val="center"/>
          </w:tcPr>
          <w:p w14:paraId="54EA5C71" w14:textId="77777777" w:rsidR="00BA319A" w:rsidRPr="008E28F6" w:rsidRDefault="007A0F13" w:rsidP="008E28F6">
            <w:pPr>
              <w:spacing w:before="120" w:after="120" w:line="260" w:lineRule="atLeast"/>
              <w:jc w:val="both"/>
              <w:rPr>
                <w:rFonts w:ascii="Verdana" w:hAnsi="Verdana"/>
                <w:color w:val="000000" w:themeColor="text1"/>
                <w:sz w:val="22"/>
                <w:szCs w:val="22"/>
              </w:rPr>
            </w:pPr>
            <w:r w:rsidRPr="008E28F6">
              <w:rPr>
                <w:rFonts w:ascii="Verdana" w:hAnsi="Verdana"/>
                <w:sz w:val="22"/>
                <w:szCs w:val="22"/>
              </w:rPr>
              <w:t>Ders</w:t>
            </w:r>
            <w:r w:rsidR="00C115FC" w:rsidRPr="008E28F6">
              <w:rPr>
                <w:rFonts w:ascii="Verdana" w:hAnsi="Verdana"/>
                <w:sz w:val="22"/>
                <w:szCs w:val="22"/>
              </w:rPr>
              <w:t xml:space="preserve"> </w:t>
            </w:r>
            <w:r w:rsidR="00260809" w:rsidRPr="008E28F6">
              <w:rPr>
                <w:rFonts w:ascii="Verdana" w:hAnsi="Verdana"/>
                <w:sz w:val="22"/>
                <w:szCs w:val="22"/>
              </w:rPr>
              <w:t>2</w:t>
            </w:r>
            <w:r w:rsidR="00C115FC" w:rsidRPr="008E28F6">
              <w:rPr>
                <w:rFonts w:ascii="Verdana" w:hAnsi="Verdana"/>
                <w:sz w:val="22"/>
                <w:szCs w:val="22"/>
              </w:rPr>
              <w:t>.</w:t>
            </w:r>
            <w:r w:rsidR="00BA319A" w:rsidRPr="008E28F6">
              <w:rPr>
                <w:rFonts w:ascii="Verdana" w:hAnsi="Verdana"/>
                <w:sz w:val="22"/>
                <w:szCs w:val="22"/>
              </w:rPr>
              <w:t>3</w:t>
            </w:r>
            <w:r w:rsidR="00773F6C" w:rsidRPr="008E28F6">
              <w:rPr>
                <w:rFonts w:ascii="Verdana" w:hAnsi="Verdana"/>
                <w:color w:val="000000" w:themeColor="text1"/>
                <w:sz w:val="28"/>
                <w:szCs w:val="28"/>
              </w:rPr>
              <w:t xml:space="preserve"> </w:t>
            </w:r>
            <w:r w:rsidRPr="008E28F6">
              <w:rPr>
                <w:rFonts w:ascii="Verdana" w:hAnsi="Verdana"/>
                <w:bCs/>
                <w:color w:val="000000" w:themeColor="text1"/>
                <w:sz w:val="22"/>
                <w:szCs w:val="22"/>
              </w:rPr>
              <w:t xml:space="preserve">Uluslararası İşbirliği Mekanizmaları </w:t>
            </w:r>
            <w:r w:rsidR="00392092" w:rsidRPr="008E28F6">
              <w:rPr>
                <w:rFonts w:ascii="Verdana" w:hAnsi="Verdana"/>
                <w:bCs/>
                <w:color w:val="000000" w:themeColor="text1"/>
                <w:sz w:val="22"/>
                <w:szCs w:val="22"/>
              </w:rPr>
              <w:t xml:space="preserve">Aracılığıyla </w:t>
            </w:r>
            <w:r w:rsidRPr="008E28F6">
              <w:rPr>
                <w:rFonts w:ascii="Verdana" w:hAnsi="Verdana"/>
                <w:bCs/>
                <w:color w:val="000000" w:themeColor="text1"/>
                <w:sz w:val="22"/>
                <w:szCs w:val="22"/>
              </w:rPr>
              <w:t xml:space="preserve">Elektronik </w:t>
            </w:r>
            <w:r w:rsidR="00392092" w:rsidRPr="008E28F6">
              <w:rPr>
                <w:rFonts w:ascii="Verdana" w:hAnsi="Verdana"/>
                <w:bCs/>
                <w:color w:val="000000" w:themeColor="text1"/>
                <w:sz w:val="22"/>
                <w:szCs w:val="22"/>
              </w:rPr>
              <w:t xml:space="preserve">Delil </w:t>
            </w:r>
            <w:r w:rsidR="007658A9" w:rsidRPr="008E28F6">
              <w:rPr>
                <w:rFonts w:ascii="Verdana" w:hAnsi="Verdana"/>
                <w:bCs/>
                <w:color w:val="000000" w:themeColor="text1"/>
                <w:sz w:val="22"/>
                <w:szCs w:val="22"/>
              </w:rPr>
              <w:t>Elde Edilmesi</w:t>
            </w:r>
            <w:r w:rsidR="00BA319A" w:rsidRPr="008E28F6">
              <w:rPr>
                <w:rFonts w:ascii="Verdana" w:hAnsi="Verdana"/>
                <w:color w:val="000000" w:themeColor="text1"/>
                <w:sz w:val="22"/>
                <w:szCs w:val="22"/>
              </w:rPr>
              <w:t xml:space="preserve"> </w:t>
            </w:r>
          </w:p>
          <w:p w14:paraId="3DE94885" w14:textId="77777777" w:rsidR="00D82C18" w:rsidRPr="008E28F6" w:rsidRDefault="00D82C18" w:rsidP="008E28F6">
            <w:pPr>
              <w:spacing w:before="120" w:after="120" w:line="260" w:lineRule="atLeast"/>
              <w:rPr>
                <w:rFonts w:ascii="Verdana" w:hAnsi="Verdana"/>
                <w:sz w:val="22"/>
                <w:szCs w:val="22"/>
              </w:rPr>
            </w:pPr>
          </w:p>
        </w:tc>
        <w:tc>
          <w:tcPr>
            <w:tcW w:w="2165" w:type="dxa"/>
            <w:shd w:val="clear" w:color="auto" w:fill="DEEAF6" w:themeFill="accent5" w:themeFillTint="33"/>
            <w:vAlign w:val="center"/>
          </w:tcPr>
          <w:p w14:paraId="398FFE9E" w14:textId="77777777" w:rsidR="00D82C18" w:rsidRPr="008E28F6" w:rsidRDefault="007A0F13" w:rsidP="008E28F6">
            <w:pPr>
              <w:spacing w:before="120" w:after="120" w:line="260" w:lineRule="atLeast"/>
              <w:rPr>
                <w:rFonts w:ascii="Verdana" w:hAnsi="Verdana"/>
                <w:sz w:val="22"/>
                <w:szCs w:val="22"/>
              </w:rPr>
            </w:pPr>
            <w:r w:rsidRPr="008E28F6">
              <w:rPr>
                <w:rFonts w:ascii="Verdana" w:hAnsi="Verdana"/>
                <w:sz w:val="22"/>
                <w:szCs w:val="22"/>
              </w:rPr>
              <w:t>Süre</w:t>
            </w:r>
            <w:r w:rsidR="00D82C18" w:rsidRPr="008E28F6">
              <w:rPr>
                <w:rFonts w:ascii="Verdana" w:hAnsi="Verdana"/>
                <w:sz w:val="22"/>
                <w:szCs w:val="22"/>
              </w:rPr>
              <w:t xml:space="preserve">: </w:t>
            </w:r>
            <w:r w:rsidR="00BA319A" w:rsidRPr="008E28F6">
              <w:rPr>
                <w:rFonts w:ascii="Verdana" w:hAnsi="Verdana"/>
                <w:color w:val="000000" w:themeColor="text1"/>
                <w:sz w:val="22"/>
                <w:szCs w:val="22"/>
              </w:rPr>
              <w:t>150</w:t>
            </w:r>
            <w:r w:rsidR="00773F6C" w:rsidRPr="008E28F6">
              <w:rPr>
                <w:rFonts w:ascii="Verdana" w:hAnsi="Verdana"/>
                <w:color w:val="000000" w:themeColor="text1"/>
                <w:sz w:val="22"/>
                <w:szCs w:val="22"/>
              </w:rPr>
              <w:t xml:space="preserve"> </w:t>
            </w:r>
            <w:r w:rsidRPr="008E28F6">
              <w:rPr>
                <w:rFonts w:ascii="Verdana" w:hAnsi="Verdana"/>
                <w:color w:val="000000" w:themeColor="text1"/>
                <w:sz w:val="22"/>
                <w:szCs w:val="22"/>
              </w:rPr>
              <w:t>dakika</w:t>
            </w:r>
            <w:r w:rsidR="00E13BE7" w:rsidRPr="008E28F6">
              <w:rPr>
                <w:rFonts w:ascii="Verdana" w:hAnsi="Verdana"/>
                <w:color w:val="000000" w:themeColor="text1"/>
                <w:sz w:val="22"/>
                <w:szCs w:val="22"/>
              </w:rPr>
              <w:t xml:space="preserve"> </w:t>
            </w:r>
          </w:p>
        </w:tc>
      </w:tr>
      <w:tr w:rsidR="00E7344B" w:rsidRPr="008E28F6" w14:paraId="10AC96D9" w14:textId="77777777" w:rsidTr="00B56791">
        <w:trPr>
          <w:trHeight w:val="1376"/>
        </w:trPr>
        <w:tc>
          <w:tcPr>
            <w:tcW w:w="9010" w:type="dxa"/>
            <w:gridSpan w:val="3"/>
            <w:vAlign w:val="center"/>
          </w:tcPr>
          <w:p w14:paraId="6513792D" w14:textId="77777777" w:rsidR="007A0F13" w:rsidRPr="008E28F6" w:rsidRDefault="007A0F13" w:rsidP="008E28F6">
            <w:pPr>
              <w:spacing w:before="120" w:after="120" w:line="260" w:lineRule="atLeast"/>
              <w:rPr>
                <w:rFonts w:ascii="Verdana" w:hAnsi="Verdana"/>
                <w:b/>
                <w:sz w:val="22"/>
                <w:szCs w:val="22"/>
              </w:rPr>
            </w:pPr>
            <w:r w:rsidRPr="008E28F6">
              <w:rPr>
                <w:rFonts w:ascii="Verdana" w:hAnsi="Verdana"/>
                <w:b/>
                <w:sz w:val="22"/>
                <w:szCs w:val="22"/>
              </w:rPr>
              <w:t>Gerek</w:t>
            </w:r>
            <w:r w:rsidR="00835200" w:rsidRPr="008E28F6">
              <w:rPr>
                <w:rFonts w:ascii="Verdana" w:hAnsi="Verdana"/>
                <w:b/>
                <w:sz w:val="22"/>
                <w:szCs w:val="22"/>
              </w:rPr>
              <w:t>li</w:t>
            </w:r>
            <w:r w:rsidRPr="008E28F6">
              <w:rPr>
                <w:rFonts w:ascii="Verdana" w:hAnsi="Verdana"/>
                <w:b/>
                <w:sz w:val="22"/>
                <w:szCs w:val="22"/>
              </w:rPr>
              <w:t xml:space="preserve"> Kaynaklar: </w:t>
            </w:r>
          </w:p>
          <w:p w14:paraId="371CA384" w14:textId="77777777" w:rsidR="007A0F13" w:rsidRPr="008E28F6" w:rsidRDefault="007A0F13" w:rsidP="008E28F6">
            <w:pPr>
              <w:pStyle w:val="bul1"/>
              <w:numPr>
                <w:ilvl w:val="0"/>
                <w:numId w:val="6"/>
              </w:numPr>
              <w:spacing w:before="120" w:after="120" w:line="260" w:lineRule="atLeast"/>
              <w:rPr>
                <w:lang w:val="tr-TR"/>
              </w:rPr>
            </w:pPr>
            <w:r w:rsidRPr="008E28F6">
              <w:rPr>
                <w:lang w:val="tr-TR"/>
              </w:rPr>
              <w:t xml:space="preserve">Hazırlanan </w:t>
            </w:r>
            <w:r w:rsidR="00392092" w:rsidRPr="008E28F6">
              <w:rPr>
                <w:lang w:val="tr-TR"/>
              </w:rPr>
              <w:t xml:space="preserve">materyallerle </w:t>
            </w:r>
            <w:r w:rsidRPr="008E28F6">
              <w:rPr>
                <w:lang w:val="tr-TR"/>
              </w:rPr>
              <w:t>uyumlu yazılım sürümlerinin yüklü olduğu PC/</w:t>
            </w:r>
            <w:proofErr w:type="spellStart"/>
            <w:r w:rsidR="00BD66DF" w:rsidRPr="008E28F6">
              <w:t>dizüstü</w:t>
            </w:r>
            <w:proofErr w:type="spellEnd"/>
            <w:r w:rsidR="00BD66DF" w:rsidRPr="008E28F6">
              <w:t xml:space="preserve"> </w:t>
            </w:r>
            <w:proofErr w:type="spellStart"/>
            <w:r w:rsidR="00BD66DF" w:rsidRPr="008E28F6">
              <w:t>bilgisayar</w:t>
            </w:r>
            <w:proofErr w:type="spellEnd"/>
            <w:r w:rsidR="00BD66DF" w:rsidRPr="008E28F6">
              <w:t xml:space="preserve"> (Laptop)</w:t>
            </w:r>
          </w:p>
          <w:p w14:paraId="60B9D592" w14:textId="77777777" w:rsidR="007A0F13" w:rsidRPr="008E28F6" w:rsidRDefault="007A0F13" w:rsidP="008E28F6">
            <w:pPr>
              <w:pStyle w:val="bul1"/>
              <w:numPr>
                <w:ilvl w:val="0"/>
                <w:numId w:val="6"/>
              </w:numPr>
              <w:spacing w:before="120" w:after="120" w:line="260" w:lineRule="atLeast"/>
              <w:rPr>
                <w:lang w:val="tr-TR"/>
              </w:rPr>
            </w:pPr>
            <w:r w:rsidRPr="008E28F6">
              <w:rPr>
                <w:lang w:val="tr-TR"/>
              </w:rPr>
              <w:t>İnternet erişimi (</w:t>
            </w:r>
            <w:r w:rsidR="00392092" w:rsidRPr="008E28F6">
              <w:rPr>
                <w:lang w:val="tr-TR"/>
              </w:rPr>
              <w:t>mevcutsa</w:t>
            </w:r>
            <w:r w:rsidRPr="008E28F6">
              <w:rPr>
                <w:lang w:val="tr-TR"/>
              </w:rPr>
              <w:t xml:space="preserve">) </w:t>
            </w:r>
          </w:p>
          <w:p w14:paraId="2D6ED9F7" w14:textId="55D89A05" w:rsidR="000F7896" w:rsidRPr="008E28F6" w:rsidRDefault="007A0F13" w:rsidP="008E28F6">
            <w:pPr>
              <w:pStyle w:val="bul1"/>
              <w:numPr>
                <w:ilvl w:val="0"/>
                <w:numId w:val="6"/>
              </w:numPr>
              <w:spacing w:before="120" w:after="120" w:line="260" w:lineRule="atLeast"/>
              <w:rPr>
                <w:lang w:val="tr-TR"/>
              </w:rPr>
            </w:pPr>
            <w:r w:rsidRPr="008E28F6">
              <w:rPr>
                <w:lang w:val="tr-TR"/>
              </w:rPr>
              <w:t>PowerPoint veya diğer sunum yazılımları</w:t>
            </w:r>
          </w:p>
        </w:tc>
      </w:tr>
      <w:tr w:rsidR="00E7344B" w:rsidRPr="008E28F6" w14:paraId="6FF38F5D" w14:textId="77777777" w:rsidTr="004D35F1">
        <w:trPr>
          <w:trHeight w:val="2051"/>
        </w:trPr>
        <w:tc>
          <w:tcPr>
            <w:tcW w:w="9010" w:type="dxa"/>
            <w:gridSpan w:val="3"/>
            <w:vAlign w:val="center"/>
          </w:tcPr>
          <w:p w14:paraId="4823CC90" w14:textId="77777777" w:rsidR="00A03CF0" w:rsidRPr="008E28F6" w:rsidRDefault="007A0F13" w:rsidP="008E28F6">
            <w:pPr>
              <w:spacing w:before="120" w:after="120" w:line="260" w:lineRule="atLeast"/>
              <w:rPr>
                <w:rFonts w:ascii="Verdana" w:hAnsi="Verdana"/>
                <w:b/>
                <w:sz w:val="22"/>
                <w:szCs w:val="22"/>
              </w:rPr>
            </w:pPr>
            <w:r w:rsidRPr="008E28F6">
              <w:rPr>
                <w:rFonts w:ascii="Verdana" w:hAnsi="Verdana"/>
                <w:b/>
                <w:sz w:val="22"/>
                <w:szCs w:val="22"/>
              </w:rPr>
              <w:t>Oturumun Amacı</w:t>
            </w:r>
            <w:r w:rsidR="00A03CF0" w:rsidRPr="008E28F6">
              <w:rPr>
                <w:rFonts w:ascii="Verdana" w:hAnsi="Verdana"/>
                <w:b/>
                <w:sz w:val="22"/>
                <w:szCs w:val="22"/>
              </w:rPr>
              <w:t xml:space="preserve">:  </w:t>
            </w:r>
          </w:p>
          <w:p w14:paraId="206B7FF7" w14:textId="77777777" w:rsidR="00BA319A" w:rsidRPr="008E28F6" w:rsidRDefault="007A0F13" w:rsidP="008E28F6">
            <w:pPr>
              <w:spacing w:before="120" w:after="120" w:line="260" w:lineRule="atLeast"/>
              <w:contextualSpacing/>
              <w:jc w:val="both"/>
              <w:rPr>
                <w:rFonts w:ascii="Verdana" w:eastAsia="Times New Roman" w:hAnsi="Verdana" w:cs="Arial"/>
                <w:color w:val="000000"/>
                <w:sz w:val="18"/>
                <w:szCs w:val="18"/>
              </w:rPr>
            </w:pPr>
            <w:r w:rsidRPr="008E28F6">
              <w:rPr>
                <w:rFonts w:ascii="Verdana" w:eastAsia="Times New Roman" w:hAnsi="Verdana" w:cs="Arial"/>
                <w:color w:val="000000"/>
                <w:sz w:val="18"/>
                <w:szCs w:val="18"/>
              </w:rPr>
              <w:t xml:space="preserve">Bu oturumun amacı, </w:t>
            </w:r>
            <w:r w:rsidR="00392092" w:rsidRPr="008E28F6">
              <w:rPr>
                <w:rFonts w:ascii="Verdana" w:eastAsia="Times New Roman" w:hAnsi="Verdana" w:cs="Arial"/>
                <w:color w:val="000000"/>
                <w:sz w:val="18"/>
                <w:szCs w:val="18"/>
              </w:rPr>
              <w:t>elektronik delillerin</w:t>
            </w:r>
            <w:r w:rsidRPr="008E28F6">
              <w:rPr>
                <w:rFonts w:ascii="Verdana" w:eastAsia="Times New Roman" w:hAnsi="Verdana" w:cs="Arial"/>
                <w:color w:val="000000"/>
                <w:sz w:val="18"/>
                <w:szCs w:val="18"/>
              </w:rPr>
              <w:t xml:space="preserve"> uluslararası işbirliği mekanizmaları aracılığıyla nasıl elde edildiğine dair adım adım süreci sunmaktır. Bu süreç, talep eden ve talep edilen tarafta üstlenilen </w:t>
            </w:r>
            <w:r w:rsidR="00392092" w:rsidRPr="008E28F6">
              <w:rPr>
                <w:rFonts w:ascii="Verdana" w:eastAsia="Times New Roman" w:hAnsi="Verdana" w:cs="Arial"/>
                <w:color w:val="000000"/>
                <w:sz w:val="18"/>
                <w:szCs w:val="18"/>
              </w:rPr>
              <w:t xml:space="preserve">karşılıklı adli yardım </w:t>
            </w:r>
            <w:r w:rsidR="00642698" w:rsidRPr="008E28F6">
              <w:rPr>
                <w:rFonts w:ascii="Verdana" w:eastAsia="Times New Roman" w:hAnsi="Verdana" w:cs="Arial"/>
                <w:color w:val="000000"/>
                <w:sz w:val="18"/>
                <w:szCs w:val="18"/>
              </w:rPr>
              <w:t xml:space="preserve">(MLA) </w:t>
            </w:r>
            <w:r w:rsidRPr="008E28F6">
              <w:rPr>
                <w:rFonts w:ascii="Verdana" w:eastAsia="Times New Roman" w:hAnsi="Verdana" w:cs="Arial"/>
                <w:color w:val="000000"/>
                <w:sz w:val="18"/>
                <w:szCs w:val="18"/>
              </w:rPr>
              <w:t>adımlarının tanıtılmasıyla ve bir vaka çalışması eşliğinde sunulacaktır.</w:t>
            </w:r>
            <w:r w:rsidR="00BA319A" w:rsidRPr="008E28F6">
              <w:rPr>
                <w:rFonts w:ascii="Verdana" w:eastAsia="Times New Roman" w:hAnsi="Verdana" w:cs="Arial"/>
                <w:color w:val="000000"/>
                <w:sz w:val="18"/>
                <w:szCs w:val="18"/>
              </w:rPr>
              <w:t xml:space="preserve"> </w:t>
            </w:r>
            <w:r w:rsidRPr="008E28F6">
              <w:rPr>
                <w:rFonts w:ascii="Verdana" w:eastAsia="Times New Roman" w:hAnsi="Verdana" w:cs="Arial"/>
                <w:color w:val="000000"/>
                <w:sz w:val="18"/>
                <w:szCs w:val="18"/>
              </w:rPr>
              <w:t xml:space="preserve">Vaka çalışması, </w:t>
            </w:r>
            <w:r w:rsidR="00500F7F" w:rsidRPr="008E28F6">
              <w:rPr>
                <w:rFonts w:ascii="Verdana" w:eastAsia="Times New Roman" w:hAnsi="Verdana" w:cs="Arial"/>
                <w:color w:val="000000"/>
                <w:sz w:val="18"/>
                <w:szCs w:val="18"/>
              </w:rPr>
              <w:t>resmi olmayan</w:t>
            </w:r>
            <w:r w:rsidRPr="008E28F6">
              <w:rPr>
                <w:rFonts w:ascii="Verdana" w:eastAsia="Times New Roman" w:hAnsi="Verdana" w:cs="Arial"/>
                <w:color w:val="000000"/>
                <w:sz w:val="18"/>
                <w:szCs w:val="18"/>
              </w:rPr>
              <w:t xml:space="preserve"> yöntemler de dahil olmak üzere çeşitli uluslararası işbirliği mekanizmalarıyla veri türlerini ve bunların nasıl toplandığını/elde edildiğini tartışacaktır. Polis, savcı ve diğer </w:t>
            </w:r>
            <w:r w:rsidR="00392092" w:rsidRPr="008E28F6">
              <w:rPr>
                <w:rFonts w:ascii="Verdana" w:eastAsia="Times New Roman" w:hAnsi="Verdana" w:cs="Arial"/>
                <w:color w:val="000000"/>
                <w:sz w:val="18"/>
                <w:szCs w:val="18"/>
              </w:rPr>
              <w:t>makamların verileri nasıl kullandıkları anlatılacaktır</w:t>
            </w:r>
            <w:r w:rsidRPr="008E28F6">
              <w:rPr>
                <w:rFonts w:ascii="Verdana" w:eastAsia="Times New Roman" w:hAnsi="Verdana" w:cs="Arial"/>
                <w:color w:val="000000"/>
                <w:sz w:val="18"/>
                <w:szCs w:val="18"/>
              </w:rPr>
              <w:t>. Oturum, savcıların, hakimlerin ve sulh hakimlerinin, bir sonraki oturumda delil olarak mahkemeye sunulacak olan verileri doğru bir şekilde değerlendirebilmelerini sağlayacaktır.</w:t>
            </w:r>
          </w:p>
          <w:p w14:paraId="5718DD6D" w14:textId="77777777" w:rsidR="00A03CF0" w:rsidRPr="008E28F6" w:rsidRDefault="00A03CF0" w:rsidP="008E28F6">
            <w:pPr>
              <w:spacing w:before="120" w:after="120" w:line="260" w:lineRule="atLeast"/>
              <w:contextualSpacing/>
              <w:jc w:val="both"/>
              <w:rPr>
                <w:rFonts w:ascii="Verdana" w:eastAsia="Times New Roman" w:hAnsi="Verdana" w:cs="Times New Roman"/>
                <w:sz w:val="18"/>
                <w:szCs w:val="18"/>
              </w:rPr>
            </w:pPr>
          </w:p>
        </w:tc>
      </w:tr>
      <w:tr w:rsidR="00A03CF0" w:rsidRPr="008E28F6" w14:paraId="1DDDA8C3" w14:textId="77777777" w:rsidTr="00F1338F">
        <w:trPr>
          <w:trHeight w:val="5894"/>
        </w:trPr>
        <w:tc>
          <w:tcPr>
            <w:tcW w:w="9010" w:type="dxa"/>
            <w:gridSpan w:val="3"/>
          </w:tcPr>
          <w:p w14:paraId="6DCFCAC8" w14:textId="77777777" w:rsidR="00B40FCA" w:rsidRPr="008E28F6" w:rsidRDefault="00B40FCA" w:rsidP="008E28F6">
            <w:pPr>
              <w:spacing w:before="120" w:after="120" w:line="260" w:lineRule="atLeast"/>
              <w:contextualSpacing/>
              <w:rPr>
                <w:rFonts w:ascii="Verdana" w:hAnsi="Verdana"/>
                <w:b/>
                <w:sz w:val="22"/>
                <w:szCs w:val="22"/>
              </w:rPr>
            </w:pPr>
          </w:p>
          <w:p w14:paraId="57A35F5A" w14:textId="77777777" w:rsidR="00A03CF0" w:rsidRPr="008E28F6" w:rsidRDefault="009E1EEC" w:rsidP="008E28F6">
            <w:pPr>
              <w:spacing w:before="120" w:after="120" w:line="260" w:lineRule="atLeast"/>
              <w:contextualSpacing/>
              <w:rPr>
                <w:rFonts w:ascii="Verdana" w:hAnsi="Verdana"/>
                <w:b/>
                <w:sz w:val="22"/>
                <w:szCs w:val="22"/>
              </w:rPr>
            </w:pPr>
            <w:r w:rsidRPr="008E28F6">
              <w:rPr>
                <w:rFonts w:ascii="Verdana" w:hAnsi="Verdana"/>
                <w:b/>
                <w:sz w:val="22"/>
                <w:szCs w:val="22"/>
              </w:rPr>
              <w:t>Hedefler</w:t>
            </w:r>
            <w:r w:rsidR="00271010" w:rsidRPr="008E28F6">
              <w:rPr>
                <w:rFonts w:ascii="Verdana" w:hAnsi="Verdana"/>
                <w:b/>
                <w:sz w:val="22"/>
                <w:szCs w:val="22"/>
              </w:rPr>
              <w:t>:</w:t>
            </w:r>
          </w:p>
          <w:p w14:paraId="318DF3E9" w14:textId="77777777" w:rsidR="009E1EEC" w:rsidRPr="008E28F6" w:rsidRDefault="009E1EE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sz w:val="18"/>
                <w:szCs w:val="18"/>
              </w:rPr>
              <w:t xml:space="preserve">Karşılıklı </w:t>
            </w:r>
            <w:r w:rsidR="00B4746B" w:rsidRPr="008E28F6">
              <w:rPr>
                <w:rFonts w:ascii="Verdana" w:eastAsia="Times New Roman" w:hAnsi="Verdana" w:cs="Times New Roman"/>
                <w:sz w:val="18"/>
                <w:szCs w:val="18"/>
              </w:rPr>
              <w:t xml:space="preserve">Adli </w:t>
            </w:r>
            <w:r w:rsidRPr="008E28F6">
              <w:rPr>
                <w:rFonts w:ascii="Verdana" w:eastAsia="Times New Roman" w:hAnsi="Verdana" w:cs="Times New Roman"/>
                <w:sz w:val="18"/>
                <w:szCs w:val="18"/>
              </w:rPr>
              <w:t xml:space="preserve">Yardım talepleri ve alışverişi için tipik olan elektronik </w:t>
            </w:r>
            <w:r w:rsidR="00B4746B" w:rsidRPr="008E28F6">
              <w:rPr>
                <w:rFonts w:ascii="Verdana" w:eastAsia="Times New Roman" w:hAnsi="Verdana" w:cs="Times New Roman"/>
                <w:sz w:val="18"/>
                <w:szCs w:val="18"/>
              </w:rPr>
              <w:t xml:space="preserve">delil </w:t>
            </w:r>
            <w:r w:rsidRPr="008E28F6">
              <w:rPr>
                <w:rFonts w:ascii="Verdana" w:eastAsia="Times New Roman" w:hAnsi="Verdana" w:cs="Times New Roman"/>
                <w:sz w:val="18"/>
                <w:szCs w:val="18"/>
              </w:rPr>
              <w:t xml:space="preserve">türleri hakkındaki bilgileri tazelemek ve </w:t>
            </w:r>
            <w:r w:rsidR="00B4746B" w:rsidRPr="008E28F6">
              <w:rPr>
                <w:rFonts w:ascii="Verdana" w:eastAsia="Times New Roman" w:hAnsi="Verdana" w:cs="Times New Roman"/>
                <w:sz w:val="18"/>
                <w:szCs w:val="18"/>
              </w:rPr>
              <w:t>geliştirmek</w:t>
            </w:r>
          </w:p>
          <w:p w14:paraId="12D717F5" w14:textId="77777777" w:rsidR="009E1EEC" w:rsidRPr="008E28F6" w:rsidRDefault="009E1EE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sz w:val="18"/>
                <w:szCs w:val="18"/>
              </w:rPr>
              <w:t xml:space="preserve">Karşılıklı </w:t>
            </w:r>
            <w:r w:rsidR="00B4746B" w:rsidRPr="008E28F6">
              <w:rPr>
                <w:rFonts w:ascii="Verdana" w:eastAsia="Times New Roman" w:hAnsi="Verdana" w:cs="Times New Roman"/>
                <w:sz w:val="18"/>
                <w:szCs w:val="18"/>
              </w:rPr>
              <w:t xml:space="preserve">Adli </w:t>
            </w:r>
            <w:r w:rsidRPr="008E28F6">
              <w:rPr>
                <w:rFonts w:ascii="Verdana" w:eastAsia="Times New Roman" w:hAnsi="Verdana" w:cs="Times New Roman"/>
                <w:sz w:val="18"/>
                <w:szCs w:val="18"/>
              </w:rPr>
              <w:t xml:space="preserve">Yardıma katılmaya yetkili makam türleri hakkındaki bilgileri </w:t>
            </w:r>
            <w:r w:rsidR="00B4746B" w:rsidRPr="008E28F6">
              <w:rPr>
                <w:rFonts w:ascii="Verdana" w:eastAsia="Times New Roman" w:hAnsi="Verdana" w:cs="Times New Roman"/>
                <w:sz w:val="18"/>
                <w:szCs w:val="18"/>
              </w:rPr>
              <w:t>geliştirmek</w:t>
            </w:r>
          </w:p>
          <w:p w14:paraId="1271286F" w14:textId="77777777" w:rsidR="009E1EEC" w:rsidRPr="008E28F6" w:rsidRDefault="009D5EE4"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sz w:val="18"/>
                <w:szCs w:val="18"/>
              </w:rPr>
              <w:t>Karşılıklı Adli Yardım (</w:t>
            </w:r>
            <w:r w:rsidR="00642698" w:rsidRPr="008E28F6">
              <w:rPr>
                <w:rFonts w:ascii="Verdana" w:eastAsia="Times New Roman" w:hAnsi="Verdana" w:cs="Times New Roman"/>
                <w:sz w:val="18"/>
                <w:szCs w:val="18"/>
              </w:rPr>
              <w:t>MLA</w:t>
            </w:r>
            <w:r w:rsidRPr="008E28F6">
              <w:rPr>
                <w:rFonts w:ascii="Verdana" w:eastAsia="Times New Roman" w:hAnsi="Verdana" w:cs="Times New Roman"/>
                <w:sz w:val="18"/>
                <w:szCs w:val="18"/>
              </w:rPr>
              <w:t>)</w:t>
            </w:r>
            <w:r w:rsidR="00642698" w:rsidRPr="008E28F6">
              <w:rPr>
                <w:rFonts w:ascii="Verdana" w:eastAsia="Times New Roman" w:hAnsi="Verdana" w:cs="Times New Roman"/>
                <w:sz w:val="18"/>
                <w:szCs w:val="18"/>
              </w:rPr>
              <w:t xml:space="preserve"> </w:t>
            </w:r>
            <w:r w:rsidR="009E1EEC" w:rsidRPr="008E28F6">
              <w:rPr>
                <w:rFonts w:ascii="Verdana" w:eastAsia="Times New Roman" w:hAnsi="Verdana" w:cs="Times New Roman"/>
                <w:sz w:val="18"/>
                <w:szCs w:val="18"/>
              </w:rPr>
              <w:t>Merkezi Otorite ile Yürütme Otoritesi ve karma sistemler arasındaki farkı anlamak</w:t>
            </w:r>
          </w:p>
          <w:p w14:paraId="3021CCFF" w14:textId="77777777" w:rsidR="009E1EEC" w:rsidRPr="008E28F6" w:rsidRDefault="009E1EE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sz w:val="18"/>
                <w:szCs w:val="18"/>
              </w:rPr>
              <w:t xml:space="preserve">Farklı makamlar için MLA usul yeterliklerinin ne olduğunu anlamak </w:t>
            </w:r>
          </w:p>
          <w:p w14:paraId="7F29246B" w14:textId="77777777" w:rsidR="00825884" w:rsidRPr="008E28F6" w:rsidRDefault="00E15BF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iCs/>
                <w:sz w:val="18"/>
                <w:szCs w:val="18"/>
              </w:rPr>
              <w:t>Farklı yetkili makamlar tarafından MLA davası sırasında atılan olası adımların ve adım değişikliklerinin öğrenilmesi</w:t>
            </w:r>
          </w:p>
          <w:p w14:paraId="5440F157" w14:textId="77777777" w:rsidR="00825884" w:rsidRPr="008E28F6" w:rsidRDefault="009E1EE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iCs/>
                <w:sz w:val="18"/>
                <w:szCs w:val="18"/>
              </w:rPr>
              <w:t>Ö</w:t>
            </w:r>
            <w:r w:rsidR="00E15BFC" w:rsidRPr="008E28F6">
              <w:rPr>
                <w:rFonts w:ascii="Verdana" w:eastAsia="Times New Roman" w:hAnsi="Verdana" w:cs="Times New Roman"/>
                <w:iCs/>
                <w:sz w:val="18"/>
                <w:szCs w:val="18"/>
              </w:rPr>
              <w:t>nceden benimsenen bilgi ve becerileri uygulayarak vaka çalışması analizine aktif olarak katılmak</w:t>
            </w:r>
          </w:p>
          <w:p w14:paraId="65CDA91D" w14:textId="6C0C45C2" w:rsidR="004D35F1" w:rsidRPr="008E28F6" w:rsidRDefault="00E15BFC" w:rsidP="008E28F6">
            <w:pPr>
              <w:pStyle w:val="ListParagraph"/>
              <w:numPr>
                <w:ilvl w:val="0"/>
                <w:numId w:val="18"/>
              </w:numPr>
              <w:tabs>
                <w:tab w:val="left" w:pos="426"/>
                <w:tab w:val="left" w:pos="851"/>
              </w:tabs>
              <w:spacing w:before="120" w:after="120" w:line="260" w:lineRule="atLeast"/>
              <w:contextualSpacing w:val="0"/>
              <w:jc w:val="both"/>
              <w:rPr>
                <w:rFonts w:ascii="Verdana" w:eastAsia="Times New Roman" w:hAnsi="Verdana" w:cs="Times New Roman"/>
                <w:sz w:val="18"/>
                <w:szCs w:val="18"/>
              </w:rPr>
            </w:pPr>
            <w:r w:rsidRPr="008E28F6">
              <w:rPr>
                <w:rFonts w:ascii="Verdana" w:eastAsia="Times New Roman" w:hAnsi="Verdana" w:cs="Times New Roman"/>
                <w:iCs/>
                <w:sz w:val="18"/>
                <w:szCs w:val="18"/>
              </w:rPr>
              <w:t xml:space="preserve">Elektronik delil toplama işlemlerine ilişkin olarak Karşılıklı </w:t>
            </w:r>
            <w:r w:rsidR="00642698" w:rsidRPr="008E28F6">
              <w:rPr>
                <w:rFonts w:ascii="Verdana" w:eastAsia="Times New Roman" w:hAnsi="Verdana" w:cs="Times New Roman"/>
                <w:iCs/>
                <w:sz w:val="18"/>
                <w:szCs w:val="18"/>
              </w:rPr>
              <w:t xml:space="preserve">Adli </w:t>
            </w:r>
            <w:r w:rsidRPr="008E28F6">
              <w:rPr>
                <w:rFonts w:ascii="Verdana" w:eastAsia="Times New Roman" w:hAnsi="Verdana" w:cs="Times New Roman"/>
                <w:iCs/>
                <w:sz w:val="18"/>
                <w:szCs w:val="18"/>
              </w:rPr>
              <w:t>Yardım hakkında genel bilgilerde ilerleme sağlamak</w:t>
            </w:r>
          </w:p>
        </w:tc>
      </w:tr>
      <w:tr w:rsidR="005703B7" w:rsidRPr="008E28F6" w14:paraId="02B038E6" w14:textId="77777777" w:rsidTr="00D62E5F">
        <w:trPr>
          <w:trHeight w:val="3230"/>
        </w:trPr>
        <w:tc>
          <w:tcPr>
            <w:tcW w:w="9010" w:type="dxa"/>
            <w:gridSpan w:val="3"/>
            <w:tcBorders>
              <w:bottom w:val="single" w:sz="4" w:space="0" w:color="auto"/>
            </w:tcBorders>
            <w:vAlign w:val="center"/>
          </w:tcPr>
          <w:p w14:paraId="5B9FF18B" w14:textId="77777777" w:rsidR="005703B7" w:rsidRPr="008E28F6" w:rsidRDefault="009E1EEC" w:rsidP="008E28F6">
            <w:pPr>
              <w:spacing w:before="120" w:after="120" w:line="260" w:lineRule="atLeast"/>
              <w:rPr>
                <w:rFonts w:ascii="Verdana" w:hAnsi="Verdana"/>
                <w:b/>
                <w:color w:val="000000" w:themeColor="text1"/>
                <w:sz w:val="22"/>
                <w:szCs w:val="22"/>
              </w:rPr>
            </w:pPr>
            <w:r w:rsidRPr="008E28F6">
              <w:rPr>
                <w:rFonts w:ascii="Verdana" w:hAnsi="Verdana"/>
                <w:b/>
                <w:color w:val="000000" w:themeColor="text1"/>
                <w:sz w:val="22"/>
                <w:szCs w:val="22"/>
              </w:rPr>
              <w:lastRenderedPageBreak/>
              <w:t>Eği</w:t>
            </w:r>
            <w:r w:rsidR="00835200" w:rsidRPr="008E28F6">
              <w:rPr>
                <w:rFonts w:ascii="Verdana" w:hAnsi="Verdana"/>
                <w:b/>
                <w:color w:val="000000" w:themeColor="text1"/>
                <w:sz w:val="22"/>
                <w:szCs w:val="22"/>
              </w:rPr>
              <w:t>tici Rehberi</w:t>
            </w:r>
            <w:r w:rsidRPr="008E28F6">
              <w:rPr>
                <w:rFonts w:ascii="Verdana" w:hAnsi="Verdana"/>
                <w:b/>
                <w:color w:val="000000" w:themeColor="text1"/>
                <w:sz w:val="22"/>
                <w:szCs w:val="22"/>
              </w:rPr>
              <w:t xml:space="preserve"> </w:t>
            </w:r>
          </w:p>
          <w:p w14:paraId="22023DE3" w14:textId="77777777" w:rsidR="00694153" w:rsidRPr="008E28F6" w:rsidRDefault="009E1EEC" w:rsidP="008E28F6">
            <w:pPr>
              <w:spacing w:beforeLines="20" w:before="48" w:afterLines="120" w:after="288" w:line="260" w:lineRule="atLeast"/>
              <w:jc w:val="both"/>
              <w:rPr>
                <w:rFonts w:ascii="Verdana" w:hAnsi="Verdana"/>
                <w:bCs/>
                <w:color w:val="000000" w:themeColor="text1"/>
                <w:sz w:val="18"/>
                <w:szCs w:val="18"/>
              </w:rPr>
            </w:pPr>
            <w:r w:rsidRPr="008E28F6">
              <w:rPr>
                <w:rFonts w:ascii="Verdana" w:hAnsi="Verdana"/>
                <w:bCs/>
                <w:color w:val="000000" w:themeColor="text1"/>
                <w:sz w:val="18"/>
                <w:szCs w:val="18"/>
              </w:rPr>
              <w:t xml:space="preserve">Oturum sırasında aşağıdaki </w:t>
            </w:r>
            <w:r w:rsidR="00642698" w:rsidRPr="008E28F6">
              <w:rPr>
                <w:rFonts w:ascii="Verdana" w:hAnsi="Verdana"/>
                <w:bCs/>
                <w:color w:val="000000" w:themeColor="text1"/>
                <w:sz w:val="18"/>
                <w:szCs w:val="18"/>
              </w:rPr>
              <w:t xml:space="preserve">hususlar </w:t>
            </w:r>
            <w:r w:rsidRPr="008E28F6">
              <w:rPr>
                <w:rFonts w:ascii="Verdana" w:hAnsi="Verdana"/>
                <w:bCs/>
                <w:color w:val="000000" w:themeColor="text1"/>
                <w:sz w:val="18"/>
                <w:szCs w:val="18"/>
              </w:rPr>
              <w:t>dikkate alınmalıdır:</w:t>
            </w:r>
          </w:p>
          <w:p w14:paraId="4B0CDF84" w14:textId="77777777" w:rsidR="009E1EEC" w:rsidRPr="008E28F6" w:rsidRDefault="009E1EEC" w:rsidP="008E28F6">
            <w:pPr>
              <w:pStyle w:val="ListParagraph"/>
              <w:numPr>
                <w:ilvl w:val="0"/>
                <w:numId w:val="24"/>
              </w:numPr>
              <w:spacing w:beforeLines="20" w:before="48" w:afterLines="120" w:after="288" w:line="260" w:lineRule="atLeast"/>
              <w:jc w:val="both"/>
              <w:rPr>
                <w:rFonts w:ascii="Verdana" w:hAnsi="Verdana"/>
                <w:bCs/>
                <w:color w:val="000000" w:themeColor="text1"/>
                <w:sz w:val="18"/>
                <w:szCs w:val="18"/>
              </w:rPr>
            </w:pPr>
            <w:r w:rsidRPr="008E28F6">
              <w:rPr>
                <w:rFonts w:ascii="Verdana" w:hAnsi="Verdana"/>
                <w:bCs/>
                <w:color w:val="000000" w:themeColor="text1"/>
                <w:sz w:val="18"/>
                <w:szCs w:val="18"/>
              </w:rPr>
              <w:t xml:space="preserve">Bilgisayar verilerinin türleri, mevcut Budapeşte Sözleşmesi tanımları, işlemler, eylemler ve diğer karşılıklı yardım biçimleri dahil olmak üzere MLA'daki yaygın elektronik </w:t>
            </w:r>
            <w:r w:rsidR="00204712" w:rsidRPr="008E28F6">
              <w:rPr>
                <w:rFonts w:ascii="Verdana" w:hAnsi="Verdana"/>
                <w:bCs/>
                <w:color w:val="000000" w:themeColor="text1"/>
                <w:sz w:val="18"/>
                <w:szCs w:val="18"/>
              </w:rPr>
              <w:t>delil</w:t>
            </w:r>
            <w:r w:rsidRPr="008E28F6">
              <w:rPr>
                <w:rFonts w:ascii="Verdana" w:hAnsi="Verdana"/>
                <w:bCs/>
                <w:color w:val="000000" w:themeColor="text1"/>
                <w:sz w:val="18"/>
                <w:szCs w:val="18"/>
              </w:rPr>
              <w:t xml:space="preserve"> türleri</w:t>
            </w:r>
          </w:p>
          <w:p w14:paraId="47E7B1AE" w14:textId="77777777" w:rsidR="009E1EEC" w:rsidRPr="008E28F6" w:rsidRDefault="009E1EEC" w:rsidP="008E28F6">
            <w:pPr>
              <w:pStyle w:val="ListParagraph"/>
              <w:numPr>
                <w:ilvl w:val="0"/>
                <w:numId w:val="24"/>
              </w:numPr>
              <w:spacing w:beforeLines="20" w:before="48" w:afterLines="120" w:after="288" w:line="260" w:lineRule="atLeast"/>
              <w:jc w:val="both"/>
              <w:rPr>
                <w:rFonts w:ascii="Verdana" w:hAnsi="Verdana"/>
                <w:bCs/>
                <w:color w:val="000000" w:themeColor="text1"/>
                <w:sz w:val="18"/>
                <w:szCs w:val="18"/>
              </w:rPr>
            </w:pPr>
            <w:r w:rsidRPr="008E28F6">
              <w:rPr>
                <w:rFonts w:ascii="Verdana" w:hAnsi="Verdana"/>
                <w:bCs/>
                <w:color w:val="000000" w:themeColor="text1"/>
                <w:sz w:val="18"/>
                <w:szCs w:val="18"/>
              </w:rPr>
              <w:t>Yetkili makamlar - Adalet Bakanlığı, polis, savcılık ve mahkemenin etkili işbirliği ve tepkisi için olanaklar ve engeller dahil olmak üzere merkez ve yürütme makamları</w:t>
            </w:r>
          </w:p>
          <w:p w14:paraId="1E983B2D" w14:textId="77777777" w:rsidR="009E1EEC" w:rsidRPr="008E28F6" w:rsidRDefault="009E1EEC" w:rsidP="008E28F6">
            <w:pPr>
              <w:pStyle w:val="ListParagraph"/>
              <w:numPr>
                <w:ilvl w:val="0"/>
                <w:numId w:val="24"/>
              </w:numPr>
              <w:spacing w:beforeLines="20" w:before="48" w:afterLines="120" w:after="288" w:line="260" w:lineRule="atLeast"/>
              <w:jc w:val="both"/>
              <w:rPr>
                <w:rFonts w:ascii="Verdana" w:hAnsi="Verdana"/>
                <w:bCs/>
                <w:color w:val="000000" w:themeColor="text1"/>
                <w:sz w:val="18"/>
                <w:szCs w:val="18"/>
              </w:rPr>
            </w:pPr>
            <w:r w:rsidRPr="008E28F6">
              <w:rPr>
                <w:rFonts w:ascii="Verdana" w:hAnsi="Verdana"/>
                <w:bCs/>
                <w:color w:val="000000" w:themeColor="text1"/>
                <w:sz w:val="18"/>
                <w:szCs w:val="18"/>
              </w:rPr>
              <w:t>İşlemlerin adım adım açıklaması dahil olmak üzere karşılıklı adli yardım işlemlerine pratik genel bakış</w:t>
            </w:r>
          </w:p>
          <w:p w14:paraId="4508EE71" w14:textId="2C7F5FE5" w:rsidR="00F824B2" w:rsidRPr="008E28F6" w:rsidRDefault="009E1EEC" w:rsidP="008E28F6">
            <w:pPr>
              <w:pStyle w:val="ListParagraph"/>
              <w:numPr>
                <w:ilvl w:val="0"/>
                <w:numId w:val="24"/>
              </w:numPr>
              <w:spacing w:beforeLines="20" w:before="48" w:afterLines="120" w:after="288" w:line="260" w:lineRule="atLeast"/>
              <w:jc w:val="both"/>
              <w:rPr>
                <w:rFonts w:ascii="Verdana" w:hAnsi="Verdana"/>
                <w:bCs/>
                <w:color w:val="000000" w:themeColor="text1"/>
                <w:sz w:val="18"/>
                <w:szCs w:val="18"/>
              </w:rPr>
            </w:pPr>
            <w:r w:rsidRPr="008E28F6">
              <w:rPr>
                <w:rFonts w:ascii="Verdana" w:hAnsi="Verdana"/>
                <w:bCs/>
                <w:color w:val="000000" w:themeColor="text1"/>
                <w:sz w:val="18"/>
                <w:szCs w:val="18"/>
              </w:rPr>
              <w:t>Bir vaka çalışması</w:t>
            </w:r>
          </w:p>
        </w:tc>
      </w:tr>
      <w:tr w:rsidR="005A4E47" w:rsidRPr="008E28F6" w14:paraId="7ABF2AA3"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D838CD9" w14:textId="77777777" w:rsidR="005A4E47" w:rsidRPr="008E28F6" w:rsidRDefault="009E1EEC" w:rsidP="008E28F6">
            <w:pPr>
              <w:spacing w:before="120" w:after="120" w:line="260" w:lineRule="atLeast"/>
              <w:rPr>
                <w:rFonts w:ascii="Verdana" w:hAnsi="Verdana"/>
                <w:b/>
                <w:sz w:val="28"/>
                <w:szCs w:val="28"/>
              </w:rPr>
            </w:pPr>
            <w:r w:rsidRPr="008E28F6">
              <w:rPr>
                <w:rFonts w:ascii="Verdana" w:hAnsi="Verdana"/>
                <w:b/>
                <w:sz w:val="28"/>
                <w:szCs w:val="28"/>
              </w:rPr>
              <w:t>Ders İçeriği</w:t>
            </w:r>
          </w:p>
        </w:tc>
      </w:tr>
      <w:tr w:rsidR="00F1574D" w:rsidRPr="008E28F6" w14:paraId="0A2C91E0" w14:textId="77777777" w:rsidTr="00835200">
        <w:trPr>
          <w:trHeight w:val="629"/>
        </w:trPr>
        <w:tc>
          <w:tcPr>
            <w:tcW w:w="1668" w:type="dxa"/>
            <w:shd w:val="clear" w:color="auto" w:fill="D9E2F3" w:themeFill="accent1" w:themeFillTint="33"/>
            <w:vAlign w:val="center"/>
          </w:tcPr>
          <w:p w14:paraId="12D39CD7" w14:textId="77777777" w:rsidR="00D82C18" w:rsidRPr="008E28F6" w:rsidRDefault="009E1EEC" w:rsidP="008E28F6">
            <w:pPr>
              <w:spacing w:before="120" w:after="120" w:line="260" w:lineRule="atLeast"/>
              <w:jc w:val="center"/>
              <w:rPr>
                <w:rFonts w:ascii="Verdana" w:hAnsi="Verdana"/>
                <w:b/>
                <w:sz w:val="22"/>
                <w:szCs w:val="22"/>
              </w:rPr>
            </w:pPr>
            <w:r w:rsidRPr="008E28F6">
              <w:rPr>
                <w:rFonts w:ascii="Verdana" w:hAnsi="Verdana"/>
                <w:b/>
                <w:sz w:val="22"/>
                <w:szCs w:val="22"/>
              </w:rPr>
              <w:t>Slayt Numara</w:t>
            </w:r>
            <w:r w:rsidR="00835200" w:rsidRPr="008E28F6">
              <w:rPr>
                <w:rFonts w:ascii="Verdana" w:hAnsi="Verdana"/>
                <w:b/>
                <w:sz w:val="22"/>
                <w:szCs w:val="22"/>
              </w:rPr>
              <w:t>ları</w:t>
            </w:r>
          </w:p>
        </w:tc>
        <w:tc>
          <w:tcPr>
            <w:tcW w:w="7342" w:type="dxa"/>
            <w:gridSpan w:val="2"/>
            <w:shd w:val="clear" w:color="auto" w:fill="D9E2F3" w:themeFill="accent1" w:themeFillTint="33"/>
            <w:vAlign w:val="center"/>
          </w:tcPr>
          <w:p w14:paraId="5B348DB0" w14:textId="77777777" w:rsidR="00D82C18" w:rsidRPr="008E28F6" w:rsidRDefault="009E1EEC" w:rsidP="008E28F6">
            <w:pPr>
              <w:spacing w:before="120" w:after="120" w:line="260" w:lineRule="atLeast"/>
              <w:rPr>
                <w:rFonts w:ascii="Verdana" w:hAnsi="Verdana"/>
                <w:b/>
                <w:sz w:val="22"/>
                <w:szCs w:val="22"/>
              </w:rPr>
            </w:pPr>
            <w:r w:rsidRPr="008E28F6">
              <w:rPr>
                <w:rFonts w:ascii="Verdana" w:hAnsi="Verdana"/>
                <w:b/>
                <w:sz w:val="22"/>
                <w:szCs w:val="22"/>
              </w:rPr>
              <w:t>İçerik</w:t>
            </w:r>
          </w:p>
        </w:tc>
      </w:tr>
      <w:tr w:rsidR="00F1574D" w:rsidRPr="008E28F6" w14:paraId="54D7B147" w14:textId="77777777" w:rsidTr="00835200">
        <w:trPr>
          <w:trHeight w:val="1043"/>
        </w:trPr>
        <w:tc>
          <w:tcPr>
            <w:tcW w:w="1668" w:type="dxa"/>
            <w:vAlign w:val="center"/>
          </w:tcPr>
          <w:p w14:paraId="6D163EBE" w14:textId="51648C5E" w:rsidR="00F1574D" w:rsidRPr="008E28F6" w:rsidRDefault="003630ED" w:rsidP="008E28F6">
            <w:pPr>
              <w:spacing w:before="120" w:after="120" w:line="260" w:lineRule="atLeast"/>
              <w:jc w:val="center"/>
              <w:rPr>
                <w:rFonts w:ascii="Verdana" w:hAnsi="Verdana"/>
                <w:sz w:val="18"/>
                <w:szCs w:val="18"/>
              </w:rPr>
            </w:pPr>
            <w:r w:rsidRPr="008E28F6">
              <w:rPr>
                <w:rFonts w:ascii="Verdana" w:hAnsi="Verdana"/>
                <w:sz w:val="18"/>
                <w:szCs w:val="18"/>
              </w:rPr>
              <w:t xml:space="preserve">1 </w:t>
            </w:r>
            <w:r w:rsidR="009D5EE4" w:rsidRPr="008E28F6">
              <w:rPr>
                <w:rFonts w:ascii="Verdana" w:hAnsi="Verdana"/>
                <w:sz w:val="18"/>
                <w:szCs w:val="18"/>
              </w:rPr>
              <w:t xml:space="preserve">- </w:t>
            </w:r>
            <w:r w:rsidR="00F824B2" w:rsidRPr="008E28F6">
              <w:rPr>
                <w:rFonts w:ascii="Verdana" w:hAnsi="Verdana"/>
                <w:sz w:val="18"/>
                <w:szCs w:val="18"/>
              </w:rPr>
              <w:t>3</w:t>
            </w:r>
          </w:p>
        </w:tc>
        <w:tc>
          <w:tcPr>
            <w:tcW w:w="7342" w:type="dxa"/>
            <w:gridSpan w:val="2"/>
            <w:vAlign w:val="center"/>
          </w:tcPr>
          <w:p w14:paraId="73E9365E" w14:textId="2D8E912F" w:rsidR="00556D69" w:rsidRPr="008E28F6" w:rsidRDefault="009E1EEC" w:rsidP="008E28F6">
            <w:pPr>
              <w:spacing w:before="120" w:after="120" w:line="260" w:lineRule="atLeast"/>
              <w:jc w:val="both"/>
              <w:rPr>
                <w:rFonts w:ascii="Verdana" w:hAnsi="Verdana"/>
                <w:color w:val="FF0000"/>
                <w:sz w:val="18"/>
                <w:szCs w:val="18"/>
              </w:rPr>
            </w:pPr>
            <w:r w:rsidRPr="008E28F6">
              <w:rPr>
                <w:rFonts w:ascii="Verdana" w:hAnsi="Verdana"/>
                <w:color w:val="000000" w:themeColor="text1"/>
                <w:sz w:val="18"/>
                <w:szCs w:val="18"/>
              </w:rPr>
              <w:t xml:space="preserve">Açılış slaytları oturuma giriş niteliğindedir ve oturum gündemini ve hedeflerini ve Giriş eğitiminden bazı hatırlatıcı alt konuları </w:t>
            </w:r>
            <w:r w:rsidR="00642698" w:rsidRPr="008E28F6">
              <w:rPr>
                <w:rFonts w:ascii="Verdana" w:hAnsi="Verdana"/>
                <w:color w:val="000000" w:themeColor="text1"/>
                <w:sz w:val="18"/>
                <w:szCs w:val="18"/>
              </w:rPr>
              <w:t>içerir</w:t>
            </w:r>
            <w:r w:rsidRPr="008E28F6">
              <w:rPr>
                <w:rFonts w:ascii="Verdana" w:hAnsi="Verdana"/>
                <w:color w:val="000000" w:themeColor="text1"/>
                <w:sz w:val="18"/>
                <w:szCs w:val="18"/>
              </w:rPr>
              <w:t xml:space="preserve">. </w:t>
            </w:r>
            <w:r w:rsidR="00556D69" w:rsidRPr="008E28F6">
              <w:rPr>
                <w:rFonts w:ascii="Verdana" w:hAnsi="Verdana"/>
                <w:color w:val="000000" w:themeColor="text1"/>
                <w:sz w:val="18"/>
                <w:szCs w:val="18"/>
              </w:rPr>
              <w:t xml:space="preserve">  </w:t>
            </w:r>
          </w:p>
        </w:tc>
      </w:tr>
      <w:tr w:rsidR="00A60446" w:rsidRPr="008E28F6" w14:paraId="36CC0CFA" w14:textId="77777777" w:rsidTr="00835200">
        <w:trPr>
          <w:trHeight w:val="1880"/>
        </w:trPr>
        <w:tc>
          <w:tcPr>
            <w:tcW w:w="1668" w:type="dxa"/>
            <w:vAlign w:val="center"/>
          </w:tcPr>
          <w:p w14:paraId="71B8D7D1" w14:textId="77777777" w:rsidR="00A60446" w:rsidRPr="008E28F6" w:rsidRDefault="00BA6A8F" w:rsidP="008E28F6">
            <w:pPr>
              <w:spacing w:before="120" w:after="120" w:line="260" w:lineRule="atLeast"/>
              <w:jc w:val="center"/>
              <w:rPr>
                <w:rFonts w:ascii="Verdana" w:hAnsi="Verdana"/>
                <w:sz w:val="18"/>
                <w:szCs w:val="18"/>
              </w:rPr>
            </w:pPr>
            <w:r w:rsidRPr="008E28F6">
              <w:rPr>
                <w:rFonts w:ascii="Verdana" w:hAnsi="Verdana"/>
                <w:sz w:val="18"/>
                <w:szCs w:val="18"/>
              </w:rPr>
              <w:t>4</w:t>
            </w:r>
            <w:r w:rsidR="003B34C4" w:rsidRPr="008E28F6">
              <w:rPr>
                <w:rFonts w:ascii="Verdana" w:hAnsi="Verdana"/>
                <w:sz w:val="18"/>
                <w:szCs w:val="18"/>
              </w:rPr>
              <w:t xml:space="preserve"> </w:t>
            </w:r>
            <w:r w:rsidR="009D5EE4" w:rsidRPr="008E28F6">
              <w:rPr>
                <w:rFonts w:ascii="Verdana" w:hAnsi="Verdana"/>
                <w:sz w:val="18"/>
                <w:szCs w:val="18"/>
              </w:rPr>
              <w:t>-</w:t>
            </w:r>
            <w:r w:rsidR="003B34C4" w:rsidRPr="008E28F6">
              <w:rPr>
                <w:rFonts w:ascii="Verdana" w:hAnsi="Verdana"/>
                <w:sz w:val="18"/>
                <w:szCs w:val="18"/>
              </w:rPr>
              <w:t xml:space="preserve"> </w:t>
            </w:r>
            <w:r w:rsidRPr="008E28F6">
              <w:rPr>
                <w:rFonts w:ascii="Verdana" w:hAnsi="Verdana"/>
                <w:sz w:val="18"/>
                <w:szCs w:val="18"/>
              </w:rPr>
              <w:t>7</w:t>
            </w:r>
          </w:p>
        </w:tc>
        <w:tc>
          <w:tcPr>
            <w:tcW w:w="7342" w:type="dxa"/>
            <w:gridSpan w:val="2"/>
            <w:vAlign w:val="center"/>
          </w:tcPr>
          <w:p w14:paraId="5B3C63C3" w14:textId="77777777" w:rsidR="00A60446"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 xml:space="preserve">Bu slayt, günümüzde kullanılmakta olan en tipik bilgisayar verisi türleri hakkındaki tanımların, bilgilerin ve açıklamaların hızlı bir özetini sunmaktadır. Bu bilgiler halihazırda Budapeşte Sözleşmesinin elektronik </w:t>
            </w:r>
            <w:r w:rsidR="00642698" w:rsidRPr="008E28F6">
              <w:rPr>
                <w:rFonts w:ascii="Verdana" w:eastAsia="Times New Roman" w:hAnsi="Verdana"/>
                <w:szCs w:val="18"/>
              </w:rPr>
              <w:t xml:space="preserve">deliller </w:t>
            </w:r>
            <w:r w:rsidRPr="008E28F6">
              <w:rPr>
                <w:rFonts w:ascii="Verdana" w:eastAsia="Times New Roman" w:hAnsi="Verdana"/>
                <w:szCs w:val="18"/>
              </w:rPr>
              <w:t xml:space="preserve">ve benzerleri hakkındaki maddeleri (1 ve 18) kapsamında oturumlarla </w:t>
            </w:r>
            <w:r w:rsidR="00642698" w:rsidRPr="008E28F6">
              <w:rPr>
                <w:rFonts w:ascii="Verdana" w:eastAsia="Times New Roman" w:hAnsi="Verdana"/>
                <w:szCs w:val="18"/>
              </w:rPr>
              <w:t>katılımcılara</w:t>
            </w:r>
            <w:r w:rsidRPr="008E28F6">
              <w:rPr>
                <w:rFonts w:ascii="Verdana" w:eastAsia="Times New Roman" w:hAnsi="Verdana"/>
                <w:szCs w:val="18"/>
              </w:rPr>
              <w:t xml:space="preserve"> sunulmuştur.</w:t>
            </w:r>
          </w:p>
        </w:tc>
      </w:tr>
      <w:tr w:rsidR="003B34C4" w:rsidRPr="008E28F6" w14:paraId="233432FA" w14:textId="77777777" w:rsidTr="00835200">
        <w:trPr>
          <w:trHeight w:val="1880"/>
        </w:trPr>
        <w:tc>
          <w:tcPr>
            <w:tcW w:w="1668" w:type="dxa"/>
            <w:vAlign w:val="center"/>
          </w:tcPr>
          <w:p w14:paraId="4D1AA431" w14:textId="77777777" w:rsidR="003B34C4" w:rsidRPr="008E28F6" w:rsidRDefault="00BA6A8F" w:rsidP="008E28F6">
            <w:pPr>
              <w:spacing w:before="120" w:after="120" w:line="260" w:lineRule="atLeast"/>
              <w:jc w:val="center"/>
              <w:rPr>
                <w:rFonts w:ascii="Verdana" w:hAnsi="Verdana"/>
                <w:sz w:val="18"/>
                <w:szCs w:val="18"/>
              </w:rPr>
            </w:pPr>
            <w:r w:rsidRPr="008E28F6">
              <w:rPr>
                <w:rFonts w:ascii="Verdana" w:hAnsi="Verdana"/>
                <w:sz w:val="18"/>
                <w:szCs w:val="18"/>
              </w:rPr>
              <w:t>8</w:t>
            </w:r>
            <w:r w:rsidR="003B34C4" w:rsidRPr="008E28F6">
              <w:rPr>
                <w:rFonts w:ascii="Verdana" w:hAnsi="Verdana"/>
                <w:sz w:val="18"/>
                <w:szCs w:val="18"/>
              </w:rPr>
              <w:t xml:space="preserve"> </w:t>
            </w:r>
            <w:r w:rsidR="009D5EE4" w:rsidRPr="008E28F6">
              <w:rPr>
                <w:rFonts w:ascii="Verdana" w:hAnsi="Verdana"/>
                <w:sz w:val="18"/>
                <w:szCs w:val="18"/>
              </w:rPr>
              <w:t>-</w:t>
            </w:r>
            <w:r w:rsidR="003B34C4" w:rsidRPr="008E28F6">
              <w:rPr>
                <w:rFonts w:ascii="Verdana" w:hAnsi="Verdana"/>
                <w:sz w:val="18"/>
                <w:szCs w:val="18"/>
              </w:rPr>
              <w:t xml:space="preserve"> </w:t>
            </w:r>
            <w:r w:rsidRPr="008E28F6">
              <w:rPr>
                <w:rFonts w:ascii="Verdana" w:hAnsi="Verdana"/>
                <w:sz w:val="18"/>
                <w:szCs w:val="18"/>
              </w:rPr>
              <w:t>9</w:t>
            </w:r>
          </w:p>
        </w:tc>
        <w:tc>
          <w:tcPr>
            <w:tcW w:w="7342" w:type="dxa"/>
            <w:gridSpan w:val="2"/>
            <w:vAlign w:val="center"/>
          </w:tcPr>
          <w:p w14:paraId="1219CFAF" w14:textId="77777777" w:rsidR="003B34C4" w:rsidRPr="008E28F6" w:rsidRDefault="009E1EEC" w:rsidP="008E28F6">
            <w:pPr>
              <w:pStyle w:val="Subtitle"/>
              <w:spacing w:before="120" w:line="260" w:lineRule="atLeast"/>
              <w:rPr>
                <w:rFonts w:ascii="Verdana" w:eastAsia="MS PGothic" w:hAnsi="Verdana" w:cs="MS PGothic"/>
                <w:iCs w:val="0"/>
                <w:kern w:val="24"/>
                <w:sz w:val="36"/>
                <w:szCs w:val="36"/>
              </w:rPr>
            </w:pPr>
            <w:r w:rsidRPr="008E28F6">
              <w:rPr>
                <w:rFonts w:ascii="Verdana" w:eastAsia="Times New Roman" w:hAnsi="Verdana"/>
                <w:szCs w:val="18"/>
              </w:rPr>
              <w:t>Bu slaytlar, BSI (Temel Abone Bilgileri) hakkında daha ayrıntılı bilgi sunmaktadır.</w:t>
            </w:r>
            <w:r w:rsidR="003B34C4" w:rsidRPr="008E28F6">
              <w:rPr>
                <w:rFonts w:ascii="Verdana" w:eastAsia="MS PGothic" w:hAnsi="Verdana" w:cs="MS PGothic"/>
                <w:iCs w:val="0"/>
                <w:kern w:val="24"/>
                <w:sz w:val="36"/>
                <w:szCs w:val="36"/>
              </w:rPr>
              <w:t xml:space="preserve"> </w:t>
            </w:r>
          </w:p>
          <w:p w14:paraId="034124ED" w14:textId="77777777" w:rsidR="009E1EEC"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Temel abone bilgileri öncelikle telefon iletişim şirketleri tarafından tanımlanmakta ve şu anlamlara gelmektedir: (A) İsim, (B) adres, (C) yerel ve uzun mesafe telefon bağlantı kayıtları veya oturum zamanlarının ve sürelerinin kayıtları, (D) hizmet süresi, başlangıç tarihi ve kullanılan hizmet türleri, (E) telefon veya araç numarası veya diğer abone numarası veya kimliği, atanmış herhangi bir İnternet protokolünün adresi ve (F) herhangi bir kredi kartı veya banka hesabı numarası dahil olmak üzere bu hizmet için ödeme yöntemi ve kaynağı.</w:t>
            </w:r>
          </w:p>
          <w:p w14:paraId="75323BFC" w14:textId="77777777" w:rsidR="003B34C4"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Günümüzde İnternet Servis Sağlayıcı abonelerinin internete erişimi amacıyla uygulanmaktadır.</w:t>
            </w:r>
          </w:p>
        </w:tc>
      </w:tr>
      <w:tr w:rsidR="003B34C4" w:rsidRPr="008E28F6" w14:paraId="5B2CB6FE" w14:textId="77777777" w:rsidTr="00835200">
        <w:trPr>
          <w:trHeight w:val="1070"/>
        </w:trPr>
        <w:tc>
          <w:tcPr>
            <w:tcW w:w="1668" w:type="dxa"/>
            <w:vAlign w:val="center"/>
          </w:tcPr>
          <w:p w14:paraId="2494781D" w14:textId="77777777" w:rsidR="003B34C4" w:rsidRPr="008E28F6" w:rsidRDefault="008E4D2C" w:rsidP="008E28F6">
            <w:pPr>
              <w:spacing w:before="120" w:after="120" w:line="260" w:lineRule="atLeast"/>
              <w:jc w:val="center"/>
              <w:rPr>
                <w:rFonts w:ascii="Verdana" w:hAnsi="Verdana"/>
                <w:sz w:val="18"/>
                <w:szCs w:val="18"/>
              </w:rPr>
            </w:pPr>
            <w:r w:rsidRPr="008E28F6">
              <w:rPr>
                <w:rFonts w:ascii="Verdana" w:hAnsi="Verdana"/>
                <w:sz w:val="18"/>
                <w:szCs w:val="18"/>
              </w:rPr>
              <w:t>10</w:t>
            </w:r>
          </w:p>
        </w:tc>
        <w:tc>
          <w:tcPr>
            <w:tcW w:w="7342" w:type="dxa"/>
            <w:gridSpan w:val="2"/>
            <w:vAlign w:val="center"/>
          </w:tcPr>
          <w:p w14:paraId="6ED0BB76" w14:textId="77777777" w:rsidR="009E1EEC"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Trafik verileri hakkındaki slayt</w:t>
            </w:r>
            <w:r w:rsidR="008E4D2C" w:rsidRPr="008E28F6">
              <w:rPr>
                <w:rFonts w:ascii="Verdana" w:eastAsia="Times New Roman" w:hAnsi="Verdana"/>
                <w:szCs w:val="18"/>
              </w:rPr>
              <w:t xml:space="preserve">. </w:t>
            </w:r>
            <w:r w:rsidRPr="008E28F6">
              <w:rPr>
                <w:rFonts w:ascii="Verdana" w:eastAsia="Times New Roman" w:hAnsi="Verdana"/>
                <w:szCs w:val="18"/>
              </w:rPr>
              <w:t xml:space="preserve">Bu veriler, bir iletişimi kökeninden hedefe yönlendirmek için iletişim zincirindeki bilgisayarlar tarafından oluşturulur. Bu nedenle iletişimin kendisine yardımcı olur. </w:t>
            </w:r>
          </w:p>
          <w:p w14:paraId="58B49048" w14:textId="77777777" w:rsidR="009E1EEC"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 xml:space="preserve">Bir bilgisayar sistemi ile ilgili olarak işlenen bir cezai suçun soruşturulması durumunda, daha fazla </w:t>
            </w:r>
            <w:r w:rsidR="00204712" w:rsidRPr="008E28F6">
              <w:rPr>
                <w:rFonts w:ascii="Verdana" w:eastAsia="Times New Roman" w:hAnsi="Verdana"/>
                <w:szCs w:val="18"/>
              </w:rPr>
              <w:t>delil</w:t>
            </w:r>
            <w:r w:rsidRPr="008E28F6">
              <w:rPr>
                <w:rFonts w:ascii="Verdana" w:eastAsia="Times New Roman" w:hAnsi="Verdana"/>
                <w:szCs w:val="18"/>
              </w:rPr>
              <w:t xml:space="preserve"> toplamak için bir başlangıç noktası veya suçun </w:t>
            </w:r>
            <w:r w:rsidR="00204712" w:rsidRPr="008E28F6">
              <w:rPr>
                <w:rFonts w:ascii="Verdana" w:eastAsia="Times New Roman" w:hAnsi="Verdana"/>
                <w:szCs w:val="18"/>
              </w:rPr>
              <w:t>delilinin</w:t>
            </w:r>
            <w:r w:rsidRPr="008E28F6">
              <w:rPr>
                <w:rFonts w:ascii="Verdana" w:eastAsia="Times New Roman" w:hAnsi="Verdana"/>
                <w:szCs w:val="18"/>
              </w:rPr>
              <w:t xml:space="preserve"> bir parçası olarak bir iletişimin kaynağını izlemek için trafik verilerine ihtiyaç duyulmaktadır. Trafik verileri geçicidir, bu da hızlı bir şekilde korunmasını zorunlu kılar. Sonuç olarak, silinmeden önce daha fazla </w:t>
            </w:r>
            <w:r w:rsidR="00204712" w:rsidRPr="008E28F6">
              <w:rPr>
                <w:rFonts w:ascii="Verdana" w:eastAsia="Times New Roman" w:hAnsi="Verdana"/>
                <w:szCs w:val="18"/>
              </w:rPr>
              <w:t>delil</w:t>
            </w:r>
            <w:r w:rsidRPr="008E28F6">
              <w:rPr>
                <w:rFonts w:ascii="Verdana" w:eastAsia="Times New Roman" w:hAnsi="Verdana"/>
                <w:szCs w:val="18"/>
              </w:rPr>
              <w:t xml:space="preserve"> toplamak veya bir şüpheliyi belirlemek için iletişimin yolunu ayırt etmek için hızlı bir şekilde ifşa edilmesi gerekli olabilir. Bilgisayar verilerinin toplanması ve ifşa edilmesi için olağan prosedür bu nedenle yetersiz kalabilir. </w:t>
            </w:r>
          </w:p>
          <w:p w14:paraId="22100215" w14:textId="77777777" w:rsidR="0023008E"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lastRenderedPageBreak/>
              <w:t xml:space="preserve">Dahası, bu verilerin toplanması ilke olarak daha az müdahaleci olarak kabul edilir çünkü bu nedenle daha hassas olduğu düşünülen iletişimin içeriğini ortaya çıkarmaz. </w:t>
            </w:r>
          </w:p>
        </w:tc>
      </w:tr>
      <w:tr w:rsidR="00F1574D" w:rsidRPr="008E28F6" w14:paraId="5EBB3E90" w14:textId="77777777" w:rsidTr="00835200">
        <w:trPr>
          <w:trHeight w:val="1880"/>
        </w:trPr>
        <w:tc>
          <w:tcPr>
            <w:tcW w:w="1668" w:type="dxa"/>
            <w:vAlign w:val="center"/>
          </w:tcPr>
          <w:p w14:paraId="5D752688" w14:textId="77777777" w:rsidR="00F1574D" w:rsidRPr="008E28F6" w:rsidRDefault="008E4D2C" w:rsidP="008E28F6">
            <w:pPr>
              <w:spacing w:before="120" w:after="120" w:line="260" w:lineRule="atLeast"/>
              <w:jc w:val="center"/>
              <w:rPr>
                <w:rFonts w:ascii="Verdana" w:hAnsi="Verdana"/>
                <w:sz w:val="18"/>
                <w:szCs w:val="18"/>
              </w:rPr>
            </w:pPr>
            <w:r w:rsidRPr="008E28F6">
              <w:rPr>
                <w:rFonts w:ascii="Verdana" w:hAnsi="Verdana"/>
                <w:sz w:val="18"/>
                <w:szCs w:val="18"/>
              </w:rPr>
              <w:lastRenderedPageBreak/>
              <w:t>11</w:t>
            </w:r>
          </w:p>
        </w:tc>
        <w:tc>
          <w:tcPr>
            <w:tcW w:w="7342" w:type="dxa"/>
            <w:gridSpan w:val="2"/>
            <w:vAlign w:val="center"/>
          </w:tcPr>
          <w:p w14:paraId="72541DB3" w14:textId="77777777" w:rsidR="009E1EEC"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İçerik verisiyle ilgili slayt</w:t>
            </w:r>
            <w:r w:rsidR="008E4D2C" w:rsidRPr="008E28F6">
              <w:rPr>
                <w:rFonts w:ascii="Verdana" w:eastAsia="Times New Roman" w:hAnsi="Verdana"/>
                <w:szCs w:val="18"/>
              </w:rPr>
              <w:t xml:space="preserve">. </w:t>
            </w:r>
            <w:r w:rsidRPr="008E28F6">
              <w:rPr>
                <w:rFonts w:ascii="Verdana" w:eastAsia="Times New Roman" w:hAnsi="Verdana"/>
                <w:szCs w:val="18"/>
              </w:rPr>
              <w:t xml:space="preserve">Budapeşte Sözleşmesi içerik verilerinin bir tanımını sağlamaz. Ancak, "içerik verileri" teriminin benzer tanımlarını sağlayan çok sayıda farklı </w:t>
            </w:r>
            <w:r w:rsidR="00642698" w:rsidRPr="008E28F6">
              <w:rPr>
                <w:rFonts w:ascii="Verdana" w:eastAsia="Times New Roman" w:hAnsi="Verdana"/>
                <w:szCs w:val="18"/>
              </w:rPr>
              <w:t xml:space="preserve">hukuki </w:t>
            </w:r>
            <w:r w:rsidRPr="008E28F6">
              <w:rPr>
                <w:rFonts w:ascii="Verdana" w:eastAsia="Times New Roman" w:hAnsi="Verdana"/>
                <w:szCs w:val="18"/>
              </w:rPr>
              <w:t>kaynak vardır.</w:t>
            </w:r>
          </w:p>
          <w:p w14:paraId="20044441" w14:textId="77777777" w:rsidR="0045500D" w:rsidRPr="008E28F6" w:rsidRDefault="009E1EEC" w:rsidP="008E28F6">
            <w:pPr>
              <w:pStyle w:val="Subtitle"/>
              <w:spacing w:before="120" w:line="260" w:lineRule="atLeast"/>
              <w:rPr>
                <w:rFonts w:ascii="Verdana" w:eastAsia="Times New Roman" w:hAnsi="Verdana"/>
                <w:szCs w:val="18"/>
              </w:rPr>
            </w:pPr>
            <w:r w:rsidRPr="008E28F6">
              <w:rPr>
                <w:rFonts w:ascii="Verdana" w:eastAsia="Times New Roman" w:hAnsi="Verdana"/>
                <w:szCs w:val="18"/>
              </w:rPr>
              <w:t>Tüm açıklamalar ve tanımlar, içerik verilerinin ağ üzerinden gönderilen dosyanın "içinde" ne olduğunu temsil ettiğini kabul etmektedir.</w:t>
            </w:r>
          </w:p>
        </w:tc>
      </w:tr>
      <w:tr w:rsidR="00F1574D" w:rsidRPr="008E28F6" w14:paraId="344D0B90" w14:textId="77777777" w:rsidTr="00835200">
        <w:trPr>
          <w:trHeight w:val="1916"/>
        </w:trPr>
        <w:tc>
          <w:tcPr>
            <w:tcW w:w="1668" w:type="dxa"/>
            <w:vAlign w:val="center"/>
          </w:tcPr>
          <w:p w14:paraId="505C090E" w14:textId="77777777" w:rsidR="00F1574D" w:rsidRPr="008E28F6" w:rsidRDefault="008E4D2C" w:rsidP="008E28F6">
            <w:pPr>
              <w:spacing w:before="120" w:after="120" w:line="260" w:lineRule="atLeast"/>
              <w:jc w:val="center"/>
              <w:rPr>
                <w:rFonts w:ascii="Verdana" w:hAnsi="Verdana"/>
                <w:sz w:val="18"/>
                <w:szCs w:val="18"/>
              </w:rPr>
            </w:pPr>
            <w:r w:rsidRPr="008E28F6">
              <w:rPr>
                <w:rFonts w:ascii="Verdana" w:hAnsi="Verdana"/>
                <w:sz w:val="18"/>
                <w:szCs w:val="18"/>
              </w:rPr>
              <w:t>12</w:t>
            </w:r>
          </w:p>
        </w:tc>
        <w:tc>
          <w:tcPr>
            <w:tcW w:w="7342" w:type="dxa"/>
            <w:gridSpan w:val="2"/>
            <w:vAlign w:val="center"/>
          </w:tcPr>
          <w:p w14:paraId="75D449C1" w14:textId="77777777" w:rsidR="009E1EEC"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Bulut bilgi işlem, bilgisayar sistemi kaynaklarının, özellikle veri depolama (bulut depolama) ve bilgi işlem gücünün, kullanıcı tarafından doğrudan aktif yönetim olmaksızın isteğe bağlı kullanılabilirliğidir. Terim genellikle İnternet üzerinden birçok kullanıcının kullanabildiği veri merkezlerini tanımlamak için kullanılır.</w:t>
            </w:r>
          </w:p>
          <w:p w14:paraId="6C1E71FD" w14:textId="77777777" w:rsidR="009E1EEC"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Günümüzde baskın olan büyük bulutlar, genellikle merkezi sunuculardan birden çok konuma dağıtılmış işlevlere sahiptir. Bağlantı kullanıcıya nispeten yakınsa, bir uç sunucu olarak tanımlanabilir.</w:t>
            </w:r>
          </w:p>
          <w:p w14:paraId="6707E0EE" w14:textId="77777777" w:rsidR="0023008E"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 xml:space="preserve">Bulutlar tek bir kuruluşla (kurumsal bulutlar) sınırlı olabilir veya birçok kuruluş tarafından kullanılabilir (genel bulut). </w:t>
            </w:r>
            <w:r w:rsidR="008E4D2C" w:rsidRPr="008E28F6">
              <w:rPr>
                <w:rFonts w:ascii="Verdana" w:eastAsia="Times New Roman" w:hAnsi="Verdana"/>
              </w:rPr>
              <w:t xml:space="preserve"> </w:t>
            </w:r>
          </w:p>
        </w:tc>
      </w:tr>
      <w:tr w:rsidR="00F1574D" w:rsidRPr="008E28F6" w14:paraId="2ADACF57" w14:textId="77777777" w:rsidTr="00835200">
        <w:trPr>
          <w:trHeight w:val="440"/>
        </w:trPr>
        <w:tc>
          <w:tcPr>
            <w:tcW w:w="1668" w:type="dxa"/>
            <w:vAlign w:val="center"/>
          </w:tcPr>
          <w:p w14:paraId="0AC16BE2" w14:textId="77777777" w:rsidR="00556D69" w:rsidRPr="008E28F6" w:rsidRDefault="005D7794" w:rsidP="008E28F6">
            <w:pPr>
              <w:spacing w:before="120" w:after="120" w:line="260" w:lineRule="atLeast"/>
              <w:jc w:val="center"/>
              <w:rPr>
                <w:rFonts w:ascii="Verdana" w:hAnsi="Verdana"/>
                <w:sz w:val="18"/>
                <w:szCs w:val="18"/>
              </w:rPr>
            </w:pPr>
            <w:r w:rsidRPr="008E28F6">
              <w:rPr>
                <w:rFonts w:ascii="Verdana" w:hAnsi="Verdana"/>
                <w:sz w:val="18"/>
                <w:szCs w:val="18"/>
              </w:rPr>
              <w:t>1</w:t>
            </w:r>
            <w:r w:rsidR="008E4D2C" w:rsidRPr="008E28F6">
              <w:rPr>
                <w:rFonts w:ascii="Verdana" w:hAnsi="Verdana"/>
                <w:sz w:val="18"/>
                <w:szCs w:val="18"/>
              </w:rPr>
              <w:t>3</w:t>
            </w:r>
            <w:r w:rsidR="00844FBF" w:rsidRPr="008E28F6">
              <w:rPr>
                <w:rFonts w:ascii="Verdana" w:hAnsi="Verdana"/>
                <w:sz w:val="18"/>
                <w:szCs w:val="18"/>
              </w:rPr>
              <w:t xml:space="preserve"> </w:t>
            </w:r>
            <w:r w:rsidR="009D5EE4" w:rsidRPr="008E28F6">
              <w:rPr>
                <w:rFonts w:ascii="Verdana" w:hAnsi="Verdana"/>
                <w:sz w:val="18"/>
                <w:szCs w:val="18"/>
              </w:rPr>
              <w:t>-</w:t>
            </w:r>
            <w:r w:rsidR="00844FBF" w:rsidRPr="008E28F6">
              <w:rPr>
                <w:rFonts w:ascii="Verdana" w:hAnsi="Verdana"/>
                <w:sz w:val="18"/>
                <w:szCs w:val="18"/>
              </w:rPr>
              <w:t xml:space="preserve"> </w:t>
            </w:r>
            <w:r w:rsidR="008E4D2C" w:rsidRPr="008E28F6">
              <w:rPr>
                <w:rFonts w:ascii="Verdana" w:hAnsi="Verdana"/>
                <w:sz w:val="18"/>
                <w:szCs w:val="18"/>
              </w:rPr>
              <w:t>1</w:t>
            </w:r>
            <w:r w:rsidR="003C3B79" w:rsidRPr="008E28F6">
              <w:rPr>
                <w:rFonts w:ascii="Verdana" w:hAnsi="Verdana"/>
                <w:sz w:val="18"/>
                <w:szCs w:val="18"/>
              </w:rPr>
              <w:t>7</w:t>
            </w:r>
          </w:p>
        </w:tc>
        <w:tc>
          <w:tcPr>
            <w:tcW w:w="7342" w:type="dxa"/>
            <w:gridSpan w:val="2"/>
            <w:vAlign w:val="center"/>
          </w:tcPr>
          <w:p w14:paraId="3954650A" w14:textId="77777777" w:rsidR="0023008E" w:rsidRPr="008E28F6" w:rsidRDefault="009E1EEC" w:rsidP="008E28F6">
            <w:pPr>
              <w:pStyle w:val="Subtitle"/>
              <w:spacing w:before="120" w:line="260" w:lineRule="atLeast"/>
              <w:rPr>
                <w:rFonts w:ascii="Verdana" w:eastAsia="MS PGothic" w:hAnsi="Verdana" w:cs="MS PGothic"/>
                <w:kern w:val="24"/>
                <w:lang w:eastAsia="en-GB"/>
              </w:rPr>
            </w:pPr>
            <w:r w:rsidRPr="008E28F6">
              <w:rPr>
                <w:rFonts w:ascii="Verdana" w:eastAsia="Times New Roman" w:hAnsi="Verdana"/>
              </w:rPr>
              <w:t xml:space="preserve">Bu slaytlar, elektronik </w:t>
            </w:r>
            <w:r w:rsidR="00642698" w:rsidRPr="008E28F6">
              <w:rPr>
                <w:rFonts w:ascii="Verdana" w:eastAsia="Times New Roman" w:hAnsi="Verdana"/>
              </w:rPr>
              <w:t xml:space="preserve">delillerle </w:t>
            </w:r>
            <w:r w:rsidRPr="008E28F6">
              <w:rPr>
                <w:rFonts w:ascii="Verdana" w:eastAsia="Times New Roman" w:hAnsi="Verdana"/>
              </w:rPr>
              <w:t>ilgili MLA zorluklarını, eylemlerini ve diğer karşılıklı yardım biçimlerini sunmaktadır.</w:t>
            </w:r>
          </w:p>
          <w:p w14:paraId="75B5035A" w14:textId="77777777" w:rsidR="008E4D2C"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 xml:space="preserve">Cezai konularda karşılıklı </w:t>
            </w:r>
            <w:r w:rsidR="00642698" w:rsidRPr="008E28F6">
              <w:rPr>
                <w:rFonts w:ascii="Verdana" w:eastAsia="Times New Roman" w:hAnsi="Verdana"/>
              </w:rPr>
              <w:t xml:space="preserve">adli </w:t>
            </w:r>
            <w:r w:rsidRPr="008E28F6">
              <w:rPr>
                <w:rFonts w:ascii="Verdana" w:eastAsia="Times New Roman" w:hAnsi="Verdana"/>
              </w:rPr>
              <w:t xml:space="preserve">yardım aracılığıyla elektronik delillerin elde edilmesine ilişkin en önemli zorluklardan bazıları bu slaytta yer almaktadır. Giriş Eğitimi sırasında </w:t>
            </w:r>
            <w:r w:rsidR="00642698" w:rsidRPr="008E28F6">
              <w:rPr>
                <w:rFonts w:ascii="Verdana" w:eastAsia="Times New Roman" w:hAnsi="Verdana"/>
              </w:rPr>
              <w:t xml:space="preserve">katılımcılara </w:t>
            </w:r>
            <w:r w:rsidRPr="008E28F6">
              <w:rPr>
                <w:rFonts w:ascii="Verdana" w:eastAsia="Times New Roman" w:hAnsi="Verdana"/>
              </w:rPr>
              <w:t>zorlukların çeşitli yönleri sunulmuştur.</w:t>
            </w:r>
          </w:p>
          <w:p w14:paraId="3C4E81EA" w14:textId="77777777" w:rsidR="0023008E"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Savcı ve hakimlerin kullanabileceği karşılıklı adli yardımın diğer biçimleri. Bazıları Adalet Bakanlığının yetkileri dahilinde ve savcılık veya mahkemenin yetki alanı dışındadır. Yine de, bu otoritelerin bunda bir rolü olacaktır.</w:t>
            </w:r>
          </w:p>
        </w:tc>
      </w:tr>
      <w:tr w:rsidR="00F1574D" w:rsidRPr="008E28F6" w14:paraId="5C47D17A" w14:textId="77777777" w:rsidTr="00835200">
        <w:trPr>
          <w:trHeight w:val="890"/>
        </w:trPr>
        <w:tc>
          <w:tcPr>
            <w:tcW w:w="1668" w:type="dxa"/>
            <w:vAlign w:val="center"/>
          </w:tcPr>
          <w:p w14:paraId="27511493" w14:textId="77777777" w:rsidR="00F1574D" w:rsidRPr="008E28F6" w:rsidRDefault="008E4D2C" w:rsidP="008E28F6">
            <w:pPr>
              <w:spacing w:before="120" w:after="120" w:line="260" w:lineRule="atLeast"/>
              <w:jc w:val="center"/>
              <w:rPr>
                <w:rFonts w:ascii="Verdana" w:hAnsi="Verdana"/>
                <w:sz w:val="18"/>
                <w:szCs w:val="18"/>
              </w:rPr>
            </w:pPr>
            <w:r w:rsidRPr="008E28F6">
              <w:rPr>
                <w:rFonts w:ascii="Verdana" w:hAnsi="Verdana"/>
                <w:sz w:val="18"/>
                <w:szCs w:val="18"/>
              </w:rPr>
              <w:t>1</w:t>
            </w:r>
            <w:r w:rsidR="00694153" w:rsidRPr="008E28F6">
              <w:rPr>
                <w:rFonts w:ascii="Verdana" w:hAnsi="Verdana"/>
                <w:sz w:val="18"/>
                <w:szCs w:val="18"/>
              </w:rPr>
              <w:t>8</w:t>
            </w:r>
            <w:r w:rsidR="003F6587" w:rsidRPr="008E28F6">
              <w:rPr>
                <w:rFonts w:ascii="Verdana" w:hAnsi="Verdana"/>
                <w:sz w:val="18"/>
                <w:szCs w:val="18"/>
              </w:rPr>
              <w:t xml:space="preserve"> </w:t>
            </w:r>
            <w:r w:rsidR="009D5EE4" w:rsidRPr="008E28F6">
              <w:rPr>
                <w:rFonts w:ascii="Verdana" w:hAnsi="Verdana"/>
                <w:sz w:val="18"/>
                <w:szCs w:val="18"/>
              </w:rPr>
              <w:t>-</w:t>
            </w:r>
            <w:r w:rsidR="003F6587" w:rsidRPr="008E28F6">
              <w:rPr>
                <w:rFonts w:ascii="Verdana" w:hAnsi="Verdana"/>
                <w:sz w:val="18"/>
                <w:szCs w:val="18"/>
              </w:rPr>
              <w:t xml:space="preserve"> </w:t>
            </w:r>
            <w:r w:rsidR="005D7794" w:rsidRPr="008E28F6">
              <w:rPr>
                <w:rFonts w:ascii="Verdana" w:hAnsi="Verdana"/>
                <w:sz w:val="18"/>
                <w:szCs w:val="18"/>
              </w:rPr>
              <w:t>2</w:t>
            </w:r>
            <w:r w:rsidR="00694153" w:rsidRPr="008E28F6">
              <w:rPr>
                <w:rFonts w:ascii="Verdana" w:hAnsi="Verdana"/>
                <w:sz w:val="18"/>
                <w:szCs w:val="18"/>
              </w:rPr>
              <w:t>8</w:t>
            </w:r>
          </w:p>
        </w:tc>
        <w:tc>
          <w:tcPr>
            <w:tcW w:w="7342" w:type="dxa"/>
            <w:gridSpan w:val="2"/>
            <w:vAlign w:val="center"/>
          </w:tcPr>
          <w:p w14:paraId="6C8F0851" w14:textId="77777777" w:rsidR="00556D69" w:rsidRPr="008E28F6" w:rsidRDefault="009E1EEC" w:rsidP="008E28F6">
            <w:pPr>
              <w:pStyle w:val="Subtitle"/>
              <w:spacing w:before="120" w:line="260" w:lineRule="atLeast"/>
              <w:rPr>
                <w:rFonts w:ascii="Verdana" w:eastAsia="Times New Roman" w:hAnsi="Verdana"/>
              </w:rPr>
            </w:pPr>
            <w:r w:rsidRPr="008E28F6">
              <w:rPr>
                <w:rFonts w:ascii="Verdana" w:eastAsia="Times New Roman" w:hAnsi="Verdana"/>
              </w:rPr>
              <w:t>Bu slaytlar, MLA yetkili makamlarının olası kurulumlarını sunmaktadır.</w:t>
            </w:r>
          </w:p>
          <w:p w14:paraId="463EFF1D" w14:textId="77777777" w:rsidR="00DA59CD"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 xml:space="preserve">Karşılıklı </w:t>
            </w:r>
            <w:r w:rsidR="00642698" w:rsidRPr="008E28F6">
              <w:rPr>
                <w:rFonts w:ascii="Verdana" w:hAnsi="Verdana"/>
                <w:sz w:val="18"/>
                <w:szCs w:val="18"/>
              </w:rPr>
              <w:t xml:space="preserve">Adli </w:t>
            </w:r>
            <w:r w:rsidRPr="008E28F6">
              <w:rPr>
                <w:rFonts w:ascii="Verdana" w:hAnsi="Verdana"/>
                <w:sz w:val="18"/>
                <w:szCs w:val="18"/>
              </w:rPr>
              <w:t xml:space="preserve">Yardım için merkezi ve yürütme makamlarının kurulması için farklı yaklaşımlar vardır. İç hukuk çerçevesine ve kabul edilen Uluslararası anlaşmalara bağlı olarak, kurulum değişebilir. </w:t>
            </w:r>
          </w:p>
          <w:p w14:paraId="79CDE6C1" w14:textId="77777777" w:rsidR="008E4D2C"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Adalet Bakanlığı, genellikle karşılıklı adli yardım için merkezi makamdır. Bununla birlikte, otoritenin yasal ve lojistik yapısının farklı yönleri nedeniyle, bu düzenin karşılaştığı ve dikkate alınması gereken zorluklar vardır.</w:t>
            </w:r>
          </w:p>
          <w:p w14:paraId="6B1A778A" w14:textId="77777777" w:rsidR="008E4D2C"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 xml:space="preserve">Çoğunlukla polis olmak üzere kolluk kuvvetleri, MLA süreciyle ilgili belirli yetkilere sahiptir. Ancak, bu yetkiler ülkeden ülkeye büyük ölçüde değişir. Ortak Hukuk ülkeleri çoğunlukla, siber suç vakalarıyla ilgili bilgi veya </w:t>
            </w:r>
            <w:r w:rsidR="00204712" w:rsidRPr="008E28F6">
              <w:rPr>
                <w:rFonts w:ascii="Verdana" w:hAnsi="Verdana"/>
                <w:sz w:val="18"/>
                <w:szCs w:val="18"/>
              </w:rPr>
              <w:t>delil</w:t>
            </w:r>
            <w:r w:rsidRPr="008E28F6">
              <w:rPr>
                <w:rFonts w:ascii="Verdana" w:hAnsi="Verdana"/>
                <w:sz w:val="18"/>
                <w:szCs w:val="18"/>
              </w:rPr>
              <w:t xml:space="preserve"> talep etme veya sunma işlemlerine aktif olarak katılmaları için kolluk kuvvetlerini güçlendirmiştir. Bu yetkinin neredeyse tamamen savcılık veya mahkemeye ait olduğu Medeni Hukuk ülkelerinde durum böyle değildir.</w:t>
            </w:r>
          </w:p>
          <w:p w14:paraId="7168EC08" w14:textId="77777777" w:rsidR="008E4D2C"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Savcılık ve Mahkemeler, MLA alanında giderek artan sorumluluklara sahiptir. Ülkeler, idari veya diğer karşılıklı hukuki yardımın hızlı ve somut bir şekilde uygulanmasının yargı makamları tarafından sağlanabileceğinin giderek daha fazla farkına varmaktadır, çünkü bu süreçte birçok katılımcı arasında köprü görevi görmektedir ve öte yandan, uygulanması gereken güvencelerin garantörleridir.</w:t>
            </w:r>
          </w:p>
          <w:p w14:paraId="6133D555" w14:textId="77777777" w:rsidR="00DA59CD"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 xml:space="preserve">Medeni hukuk ülkeleri daha çok Cumhuriyet Savcılığının veya Mahkemenin Soruşturma Dairesinin soruşturma yetkisine sahip olduğu sistemi </w:t>
            </w:r>
            <w:r w:rsidRPr="008E28F6">
              <w:rPr>
                <w:rFonts w:ascii="Verdana" w:hAnsi="Verdana"/>
                <w:sz w:val="18"/>
                <w:szCs w:val="18"/>
              </w:rPr>
              <w:lastRenderedPageBreak/>
              <w:t>benimserken, bu sistemde polis görevlerini bu makamların yönlendirmesi veya emirleri altında yürütmektedir.</w:t>
            </w:r>
          </w:p>
          <w:p w14:paraId="1C8C0369" w14:textId="77777777" w:rsidR="00DA59CD"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Ortak Hukuk ülkelerinde, polisin tüm soruşturma yetkisine sahip olduğu sistemler karma ve klasik sistem, polisin savcılık ile işbirliği yaptığı ve mahkemeye dosyaları sunduğu karma sistemlerden daha azdır.</w:t>
            </w:r>
          </w:p>
          <w:p w14:paraId="426B8B57" w14:textId="77777777" w:rsidR="008E4D2C"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Bununla birlikte, savcılık ve mahkemeler MLA süreçlerine giderek daha fazla dahil olmaktadır.</w:t>
            </w:r>
          </w:p>
          <w:p w14:paraId="32CD6B4A" w14:textId="77777777" w:rsidR="00DA59CD"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 xml:space="preserve">Bazı ülkeler savcılık bürolarında (Arnavutluk, Belçika, Fransa, İtalya, Malta, Mauritius, Hollanda, Romanya, Sırbistan, İsviçre, Amerika Birleşik Devletleri) resmi veya etkin bir şekilde irtibat noktaları kurmuştur. </w:t>
            </w:r>
          </w:p>
          <w:p w14:paraId="0D99B1D4" w14:textId="77777777" w:rsidR="008E4D2C" w:rsidRPr="008E28F6" w:rsidRDefault="00DA59CD" w:rsidP="008E28F6">
            <w:pPr>
              <w:spacing w:before="120" w:after="120" w:line="260" w:lineRule="atLeast"/>
              <w:jc w:val="both"/>
              <w:rPr>
                <w:rFonts w:ascii="Verdana" w:hAnsi="Verdana"/>
                <w:sz w:val="18"/>
                <w:szCs w:val="18"/>
              </w:rPr>
            </w:pPr>
            <w:r w:rsidRPr="008E28F6">
              <w:rPr>
                <w:rFonts w:ascii="Verdana" w:hAnsi="Verdana"/>
                <w:sz w:val="18"/>
                <w:szCs w:val="18"/>
              </w:rPr>
              <w:t xml:space="preserve">Devletler, elektronik verileri içeren MLA taleplerini işleyen ofisler arasındaki bağlantıları iyileştirmek için çok çeşitli adımlar atmaktadır. Bu adımlar, tüm Tarafların erişimine açık olan Tarafların cevaplarının derlendiği bölümde kapsamlı bir şekilde detaylandırılmıştır. </w:t>
            </w:r>
            <w:r w:rsidR="00C35E78" w:rsidRPr="008E28F6">
              <w:rPr>
                <w:rFonts w:ascii="Verdana" w:hAnsi="Verdana"/>
                <w:sz w:val="18"/>
                <w:szCs w:val="18"/>
              </w:rPr>
              <w:t>Siber Suçlar Sözleşme Komitesi (</w:t>
            </w:r>
            <w:r w:rsidRPr="008E28F6">
              <w:rPr>
                <w:rFonts w:ascii="Verdana" w:hAnsi="Verdana"/>
                <w:sz w:val="18"/>
                <w:szCs w:val="18"/>
              </w:rPr>
              <w:t>T-CY</w:t>
            </w:r>
            <w:r w:rsidR="00C35E78" w:rsidRPr="008E28F6">
              <w:rPr>
                <w:rFonts w:ascii="Verdana" w:hAnsi="Verdana"/>
                <w:sz w:val="18"/>
                <w:szCs w:val="18"/>
              </w:rPr>
              <w:t>)</w:t>
            </w:r>
            <w:r w:rsidRPr="008E28F6">
              <w:rPr>
                <w:rFonts w:ascii="Verdana" w:hAnsi="Verdana"/>
                <w:sz w:val="18"/>
                <w:szCs w:val="18"/>
              </w:rPr>
              <w:t>, sürecin iyileştirilmesine sürekli odaklanılmasını önermektedir. Avrupa Konseyi - projeler aracılığıyla ve T-CY ile koordineli olarak - 7/24 temas noktaları arasında deneyim paylaşımını desteklemelidir. Adalet makamlarıyla yakın koordinasyon sağlanmalıdır.</w:t>
            </w:r>
          </w:p>
        </w:tc>
      </w:tr>
      <w:tr w:rsidR="00F1574D" w:rsidRPr="008E28F6" w14:paraId="5377AB99" w14:textId="77777777" w:rsidTr="00835200">
        <w:trPr>
          <w:trHeight w:val="1295"/>
        </w:trPr>
        <w:tc>
          <w:tcPr>
            <w:tcW w:w="1668" w:type="dxa"/>
            <w:vAlign w:val="center"/>
          </w:tcPr>
          <w:p w14:paraId="4A3C2FC1" w14:textId="77777777" w:rsidR="00F1574D" w:rsidRPr="008E28F6" w:rsidRDefault="005D7794" w:rsidP="008E28F6">
            <w:pPr>
              <w:spacing w:before="120" w:after="120" w:line="260" w:lineRule="atLeast"/>
              <w:jc w:val="center"/>
              <w:rPr>
                <w:rFonts w:ascii="Verdana" w:hAnsi="Verdana"/>
                <w:sz w:val="18"/>
                <w:szCs w:val="18"/>
              </w:rPr>
            </w:pPr>
            <w:r w:rsidRPr="008E28F6">
              <w:rPr>
                <w:rFonts w:ascii="Verdana" w:hAnsi="Verdana"/>
                <w:sz w:val="18"/>
                <w:szCs w:val="18"/>
              </w:rPr>
              <w:lastRenderedPageBreak/>
              <w:t>2</w:t>
            </w:r>
            <w:r w:rsidR="00694153" w:rsidRPr="008E28F6">
              <w:rPr>
                <w:rFonts w:ascii="Verdana" w:hAnsi="Verdana"/>
                <w:sz w:val="18"/>
                <w:szCs w:val="18"/>
              </w:rPr>
              <w:t>9</w:t>
            </w:r>
            <w:r w:rsidR="003F6587" w:rsidRPr="008E28F6">
              <w:rPr>
                <w:rFonts w:ascii="Verdana" w:hAnsi="Verdana"/>
                <w:sz w:val="18"/>
                <w:szCs w:val="18"/>
              </w:rPr>
              <w:t xml:space="preserve"> </w:t>
            </w:r>
            <w:r w:rsidR="009D5EE4" w:rsidRPr="008E28F6">
              <w:rPr>
                <w:rFonts w:ascii="Verdana" w:hAnsi="Verdana"/>
                <w:sz w:val="18"/>
                <w:szCs w:val="18"/>
              </w:rPr>
              <w:t>-</w:t>
            </w:r>
            <w:r w:rsidR="003F6587" w:rsidRPr="008E28F6">
              <w:rPr>
                <w:rFonts w:ascii="Verdana" w:hAnsi="Verdana"/>
                <w:sz w:val="18"/>
                <w:szCs w:val="18"/>
              </w:rPr>
              <w:t xml:space="preserve"> </w:t>
            </w:r>
            <w:r w:rsidR="008E4D2C" w:rsidRPr="008E28F6">
              <w:rPr>
                <w:rFonts w:ascii="Verdana" w:hAnsi="Verdana"/>
                <w:sz w:val="18"/>
                <w:szCs w:val="18"/>
              </w:rPr>
              <w:t>3</w:t>
            </w:r>
            <w:r w:rsidR="00694153" w:rsidRPr="008E28F6">
              <w:rPr>
                <w:rFonts w:ascii="Verdana" w:hAnsi="Verdana"/>
                <w:sz w:val="18"/>
                <w:szCs w:val="18"/>
              </w:rPr>
              <w:t>9</w:t>
            </w:r>
          </w:p>
        </w:tc>
        <w:tc>
          <w:tcPr>
            <w:tcW w:w="7342" w:type="dxa"/>
            <w:gridSpan w:val="2"/>
            <w:vAlign w:val="center"/>
          </w:tcPr>
          <w:p w14:paraId="0200D150" w14:textId="77777777" w:rsidR="00A31FA0" w:rsidRPr="008E28F6" w:rsidRDefault="00405DA8" w:rsidP="008E28F6">
            <w:pPr>
              <w:spacing w:before="120" w:after="120" w:line="260" w:lineRule="atLeast"/>
              <w:jc w:val="both"/>
              <w:rPr>
                <w:rFonts w:ascii="Verdana" w:eastAsia="MS PGothic" w:hAnsi="Verdana" w:cs="MS PGothic"/>
                <w:b/>
                <w:bCs/>
                <w:color w:val="000000" w:themeColor="text1"/>
                <w:kern w:val="24"/>
                <w:lang w:eastAsia="en-GB"/>
              </w:rPr>
            </w:pPr>
            <w:r w:rsidRPr="008E28F6">
              <w:rPr>
                <w:rFonts w:ascii="Verdana" w:eastAsia="Times New Roman" w:hAnsi="Verdana"/>
                <w:sz w:val="18"/>
                <w:szCs w:val="18"/>
              </w:rPr>
              <w:t xml:space="preserve">Bu slaytlar, </w:t>
            </w:r>
            <w:r w:rsidR="00DA64B9" w:rsidRPr="008E28F6">
              <w:rPr>
                <w:rFonts w:ascii="Verdana" w:eastAsia="Times New Roman" w:hAnsi="Verdana"/>
                <w:sz w:val="18"/>
                <w:szCs w:val="18"/>
              </w:rPr>
              <w:t>karşılıklı adli yardımlaşma (</w:t>
            </w:r>
            <w:r w:rsidRPr="008E28F6">
              <w:rPr>
                <w:rFonts w:ascii="Verdana" w:eastAsia="Times New Roman" w:hAnsi="Verdana"/>
                <w:sz w:val="18"/>
                <w:szCs w:val="18"/>
              </w:rPr>
              <w:t>MLA</w:t>
            </w:r>
            <w:r w:rsidR="00DA64B9" w:rsidRPr="008E28F6">
              <w:rPr>
                <w:rFonts w:ascii="Verdana" w:eastAsia="Times New Roman" w:hAnsi="Verdana"/>
                <w:sz w:val="18"/>
                <w:szCs w:val="18"/>
              </w:rPr>
              <w:t>)</w:t>
            </w:r>
            <w:r w:rsidRPr="008E28F6">
              <w:rPr>
                <w:rFonts w:ascii="Verdana" w:eastAsia="Times New Roman" w:hAnsi="Verdana"/>
                <w:sz w:val="18"/>
                <w:szCs w:val="18"/>
              </w:rPr>
              <w:t xml:space="preserve"> işlemlerinin pratik bir özetini sunmaktadır.</w:t>
            </w:r>
            <w:r w:rsidR="00A31FA0" w:rsidRPr="008E28F6">
              <w:rPr>
                <w:rFonts w:ascii="Verdana" w:eastAsia="MS PGothic" w:hAnsi="Verdana" w:cs="MS PGothic"/>
                <w:b/>
                <w:bCs/>
                <w:color w:val="000000" w:themeColor="text1"/>
                <w:kern w:val="24"/>
                <w:lang w:eastAsia="en-GB"/>
              </w:rPr>
              <w:t xml:space="preserve"> </w:t>
            </w:r>
          </w:p>
          <w:p w14:paraId="746AA780" w14:textId="77777777" w:rsidR="00405DA8" w:rsidRPr="008E28F6" w:rsidRDefault="00405DA8"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Bu ve sonraki slaytlar, MLA işlemlerinde olağan pratik adımları açıklamaktadır. Adımlar kendi kendini açıklar niteliktedir ve uluslararası unsurun eklenmesiyle devam eden yerel davaya karşılık geldiklerinden ceza hukuku uygulayıcıları tarafından iyi bilinmelidir.</w:t>
            </w:r>
          </w:p>
          <w:p w14:paraId="3AA8D79B" w14:textId="77777777" w:rsidR="00405DA8" w:rsidRPr="008E28F6" w:rsidRDefault="00405DA8"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1: Davayı MLA olarak etiketlemenin ön koşulu, davadaki uluslararası unsuru hukuka uygun olarak belirlemektir.</w:t>
            </w:r>
          </w:p>
          <w:p w14:paraId="7A643AAF" w14:textId="77777777" w:rsidR="00405DA8" w:rsidRPr="008E28F6" w:rsidRDefault="00405DA8"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2: Yürütme makamı vakayı kapsamlı bir şekilde analiz etmeli ve hangi gerçeklerin elde edilmesi gerektiğini belirlemelidir</w:t>
            </w:r>
          </w:p>
          <w:p w14:paraId="722C428F" w14:textId="77777777" w:rsidR="00405DA8" w:rsidRPr="008E28F6" w:rsidRDefault="00405DA8"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3: İşlemlerin farklı aşamalarından dolayı bilgi düzeyi farklı olabilir</w:t>
            </w:r>
          </w:p>
          <w:p w14:paraId="270252E0" w14:textId="77777777" w:rsidR="00556D69" w:rsidRPr="008E28F6" w:rsidRDefault="00405DA8"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 xml:space="preserve">Adım 4: </w:t>
            </w:r>
            <w:r w:rsidR="00500F7F" w:rsidRPr="008E28F6">
              <w:rPr>
                <w:rFonts w:ascii="Verdana" w:eastAsia="Times New Roman" w:hAnsi="Verdana"/>
                <w:sz w:val="18"/>
                <w:szCs w:val="18"/>
              </w:rPr>
              <w:t>Resmi olmayan</w:t>
            </w:r>
            <w:r w:rsidRPr="008E28F6">
              <w:rPr>
                <w:rFonts w:ascii="Verdana" w:eastAsia="Times New Roman" w:hAnsi="Verdana"/>
                <w:sz w:val="18"/>
                <w:szCs w:val="18"/>
              </w:rPr>
              <w:t xml:space="preserve"> ve resmi yardımın hızı daha önce açıklandığı gibi değişir</w:t>
            </w:r>
          </w:p>
          <w:p w14:paraId="1F3216A5" w14:textId="77777777" w:rsidR="00000C58" w:rsidRPr="008E28F6" w:rsidRDefault="00E15BF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İç hukuk yapısına bağlı olarak Adım 4'e yaklaşımda farklılıklar bulunmaktadır. Değişiklikler, MLA otoritesinin ne kadarının katılımcı kuvvete, ofise veya mahkemeye atandığına bağlıdır. Ayrıca, ülke içinde ve dışında MLA işlemlerine katılmaları için sunulan yasal olanaklara bağlıdır.</w:t>
            </w:r>
          </w:p>
          <w:p w14:paraId="5F9B856A" w14:textId="77777777" w:rsidR="00E15BFC" w:rsidRPr="008E28F6" w:rsidRDefault="00E15BF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 xml:space="preserve">Adım 5: MLA süreci, büyük ölçüde zaman alıcı olabilir. Yine de, bekleyen yetkililer sadece verilecek cevaba bağlı olmamalıdır. Proaktif hareket etmeli ve bir cevap beklerken uygulanabilecek gerekli tüm önlemleri almalıdırlar. </w:t>
            </w:r>
            <w:r w:rsidR="00C35E78" w:rsidRPr="008E28F6">
              <w:rPr>
                <w:rFonts w:ascii="Verdana" w:eastAsia="Times New Roman" w:hAnsi="Verdana"/>
                <w:sz w:val="18"/>
                <w:szCs w:val="18"/>
              </w:rPr>
              <w:t xml:space="preserve">Katılımcılara </w:t>
            </w:r>
            <w:r w:rsidRPr="008E28F6">
              <w:rPr>
                <w:rFonts w:ascii="Verdana" w:eastAsia="Times New Roman" w:hAnsi="Verdana"/>
                <w:sz w:val="18"/>
                <w:szCs w:val="18"/>
              </w:rPr>
              <w:t>bunun ne olabileceği sorulmalıdır.</w:t>
            </w:r>
          </w:p>
          <w:p w14:paraId="6C5A2CAA" w14:textId="77777777" w:rsidR="00E15BFC" w:rsidRPr="008E28F6" w:rsidRDefault="00E15BF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6: Talep edilen Devlet, Talep Mektubunu alır ve talep eden tarafta daha önce açıklandığı gibi farklı olabilecek işlemleri başlatır.</w:t>
            </w:r>
          </w:p>
          <w:p w14:paraId="5A706AF2" w14:textId="77777777" w:rsidR="00E15BFC" w:rsidRPr="008E28F6" w:rsidRDefault="00E15BF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7: Fiziki ve yasal imkanlara uygun olarak yanıt geri gönderilir.</w:t>
            </w:r>
          </w:p>
          <w:p w14:paraId="25C3A30D" w14:textId="77777777" w:rsidR="00000C58" w:rsidRPr="008E28F6" w:rsidRDefault="00E15BF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Adım 8 ve 9: Cevap alınır ve analiz edilir. İlk Talep Mektubunda belirlenen gerçeklere dayalı olarak bir açıklama, zeyilname veya tamamen yeni bir Talep Mektubu hazırlanır.</w:t>
            </w:r>
          </w:p>
          <w:p w14:paraId="5D52FB18" w14:textId="77777777" w:rsidR="00000C58" w:rsidRPr="008E28F6" w:rsidRDefault="00913FDC" w:rsidP="008E28F6">
            <w:pPr>
              <w:spacing w:before="120" w:after="120" w:line="260" w:lineRule="atLeast"/>
              <w:jc w:val="both"/>
              <w:rPr>
                <w:rFonts w:ascii="Verdana" w:eastAsia="Times New Roman" w:hAnsi="Verdana"/>
                <w:sz w:val="18"/>
                <w:szCs w:val="18"/>
              </w:rPr>
            </w:pPr>
            <w:r w:rsidRPr="008E28F6">
              <w:rPr>
                <w:rFonts w:ascii="Verdana" w:eastAsia="Times New Roman" w:hAnsi="Verdana"/>
                <w:sz w:val="18"/>
                <w:szCs w:val="18"/>
              </w:rPr>
              <w:t xml:space="preserve">Katılımcılar </w:t>
            </w:r>
            <w:r w:rsidR="00E15BFC" w:rsidRPr="008E28F6">
              <w:rPr>
                <w:rFonts w:ascii="Verdana" w:eastAsia="Times New Roman" w:hAnsi="Verdana"/>
                <w:sz w:val="18"/>
                <w:szCs w:val="18"/>
              </w:rPr>
              <w:t>deneyimlerini paylaşmaya davet edilmelidir.</w:t>
            </w:r>
          </w:p>
        </w:tc>
      </w:tr>
      <w:tr w:rsidR="00F1574D" w:rsidRPr="008E28F6" w14:paraId="048A1691" w14:textId="77777777" w:rsidTr="00835200">
        <w:trPr>
          <w:trHeight w:val="1259"/>
        </w:trPr>
        <w:tc>
          <w:tcPr>
            <w:tcW w:w="1668" w:type="dxa"/>
            <w:vAlign w:val="center"/>
          </w:tcPr>
          <w:p w14:paraId="30FEEB4B" w14:textId="77777777" w:rsidR="00F1574D" w:rsidRPr="008E28F6" w:rsidRDefault="00694153" w:rsidP="008E28F6">
            <w:pPr>
              <w:spacing w:before="120" w:after="120" w:line="260" w:lineRule="atLeast"/>
              <w:jc w:val="center"/>
              <w:rPr>
                <w:rFonts w:ascii="Verdana" w:hAnsi="Verdana"/>
                <w:sz w:val="18"/>
                <w:szCs w:val="18"/>
              </w:rPr>
            </w:pPr>
            <w:r w:rsidRPr="008E28F6">
              <w:rPr>
                <w:rFonts w:ascii="Verdana" w:hAnsi="Verdana"/>
                <w:sz w:val="18"/>
                <w:szCs w:val="18"/>
              </w:rPr>
              <w:lastRenderedPageBreak/>
              <w:t>40</w:t>
            </w:r>
            <w:r w:rsidR="00A31FA0" w:rsidRPr="008E28F6">
              <w:rPr>
                <w:rFonts w:ascii="Verdana" w:hAnsi="Verdana"/>
                <w:sz w:val="18"/>
                <w:szCs w:val="18"/>
              </w:rPr>
              <w:t xml:space="preserve"> </w:t>
            </w:r>
            <w:r w:rsidR="009D5EE4" w:rsidRPr="008E28F6">
              <w:rPr>
                <w:rFonts w:ascii="Verdana" w:hAnsi="Verdana"/>
                <w:sz w:val="18"/>
                <w:szCs w:val="18"/>
              </w:rPr>
              <w:t>-</w:t>
            </w:r>
            <w:r w:rsidR="00A31FA0" w:rsidRPr="008E28F6">
              <w:rPr>
                <w:rFonts w:ascii="Verdana" w:hAnsi="Verdana"/>
                <w:sz w:val="18"/>
                <w:szCs w:val="18"/>
              </w:rPr>
              <w:t xml:space="preserve"> </w:t>
            </w:r>
            <w:r w:rsidR="00000C58" w:rsidRPr="008E28F6">
              <w:rPr>
                <w:rFonts w:ascii="Verdana" w:hAnsi="Verdana"/>
                <w:sz w:val="18"/>
                <w:szCs w:val="18"/>
              </w:rPr>
              <w:t>4</w:t>
            </w:r>
            <w:r w:rsidRPr="008E28F6">
              <w:rPr>
                <w:rFonts w:ascii="Verdana" w:hAnsi="Verdana"/>
                <w:sz w:val="18"/>
                <w:szCs w:val="18"/>
              </w:rPr>
              <w:t>5</w:t>
            </w:r>
          </w:p>
        </w:tc>
        <w:tc>
          <w:tcPr>
            <w:tcW w:w="7342" w:type="dxa"/>
            <w:gridSpan w:val="2"/>
            <w:vAlign w:val="center"/>
          </w:tcPr>
          <w:p w14:paraId="3E956680" w14:textId="77777777" w:rsidR="00000C58" w:rsidRPr="008E28F6" w:rsidRDefault="00E15BFC" w:rsidP="008E28F6">
            <w:pPr>
              <w:pStyle w:val="Subtitle"/>
              <w:spacing w:before="120" w:line="260" w:lineRule="atLeast"/>
              <w:rPr>
                <w:rFonts w:ascii="Verdana" w:hAnsi="Verdana"/>
                <w:szCs w:val="18"/>
              </w:rPr>
            </w:pPr>
            <w:r w:rsidRPr="008E28F6">
              <w:rPr>
                <w:rFonts w:ascii="Verdana" w:hAnsi="Verdana"/>
                <w:szCs w:val="18"/>
              </w:rPr>
              <w:t>2020'deki gerçek bir olaya ait vaka çalışması. Bununla ilgili ek materyaller eğitim paketinde sağlanmıştır.</w:t>
            </w:r>
          </w:p>
        </w:tc>
      </w:tr>
      <w:tr w:rsidR="005F709E" w:rsidRPr="008E28F6" w14:paraId="165012D6" w14:textId="77777777" w:rsidTr="00835200">
        <w:trPr>
          <w:trHeight w:val="1313"/>
        </w:trPr>
        <w:tc>
          <w:tcPr>
            <w:tcW w:w="1668" w:type="dxa"/>
            <w:vAlign w:val="center"/>
          </w:tcPr>
          <w:p w14:paraId="409078E4" w14:textId="77777777" w:rsidR="005F709E" w:rsidRPr="008E28F6" w:rsidRDefault="00A31FA0" w:rsidP="008E28F6">
            <w:pPr>
              <w:spacing w:before="120" w:after="120" w:line="260" w:lineRule="atLeast"/>
              <w:jc w:val="center"/>
              <w:rPr>
                <w:rFonts w:ascii="Verdana" w:hAnsi="Verdana"/>
                <w:sz w:val="18"/>
                <w:szCs w:val="18"/>
              </w:rPr>
            </w:pPr>
            <w:r w:rsidRPr="008E28F6">
              <w:rPr>
                <w:rFonts w:ascii="Verdana" w:hAnsi="Verdana"/>
                <w:sz w:val="18"/>
                <w:szCs w:val="18"/>
              </w:rPr>
              <w:t>4</w:t>
            </w:r>
            <w:r w:rsidR="00694153" w:rsidRPr="008E28F6">
              <w:rPr>
                <w:rFonts w:ascii="Verdana" w:hAnsi="Verdana"/>
                <w:sz w:val="18"/>
                <w:szCs w:val="18"/>
              </w:rPr>
              <w:t>6</w:t>
            </w:r>
            <w:r w:rsidR="005F709E" w:rsidRPr="008E28F6">
              <w:rPr>
                <w:rFonts w:ascii="Verdana" w:hAnsi="Verdana"/>
                <w:sz w:val="18"/>
                <w:szCs w:val="18"/>
              </w:rPr>
              <w:t xml:space="preserve"> </w:t>
            </w:r>
            <w:r w:rsidR="009D5EE4" w:rsidRPr="008E28F6">
              <w:rPr>
                <w:rFonts w:ascii="Verdana" w:hAnsi="Verdana"/>
                <w:sz w:val="18"/>
                <w:szCs w:val="18"/>
              </w:rPr>
              <w:t>-</w:t>
            </w:r>
            <w:r w:rsidR="005F709E" w:rsidRPr="008E28F6">
              <w:rPr>
                <w:rFonts w:ascii="Verdana" w:hAnsi="Verdana"/>
                <w:sz w:val="18"/>
                <w:szCs w:val="18"/>
              </w:rPr>
              <w:t xml:space="preserve"> </w:t>
            </w:r>
            <w:r w:rsidRPr="008E28F6">
              <w:rPr>
                <w:rFonts w:ascii="Verdana" w:hAnsi="Verdana"/>
                <w:sz w:val="18"/>
                <w:szCs w:val="18"/>
              </w:rPr>
              <w:t>4</w:t>
            </w:r>
            <w:r w:rsidR="00694153" w:rsidRPr="008E28F6">
              <w:rPr>
                <w:rFonts w:ascii="Verdana" w:hAnsi="Verdana"/>
                <w:sz w:val="18"/>
                <w:szCs w:val="18"/>
              </w:rPr>
              <w:t>7</w:t>
            </w:r>
          </w:p>
        </w:tc>
        <w:tc>
          <w:tcPr>
            <w:tcW w:w="7342" w:type="dxa"/>
            <w:gridSpan w:val="2"/>
            <w:vAlign w:val="center"/>
          </w:tcPr>
          <w:p w14:paraId="017A8FDC" w14:textId="77777777" w:rsidR="00E15BFC" w:rsidRPr="008E28F6" w:rsidRDefault="00E15BFC" w:rsidP="008E28F6">
            <w:pPr>
              <w:spacing w:before="120" w:after="120" w:line="260" w:lineRule="atLeast"/>
              <w:jc w:val="both"/>
              <w:rPr>
                <w:rFonts w:ascii="Verdana" w:hAnsi="Verdana"/>
                <w:sz w:val="18"/>
                <w:szCs w:val="18"/>
              </w:rPr>
            </w:pPr>
            <w:r w:rsidRPr="008E28F6">
              <w:rPr>
                <w:rFonts w:ascii="Verdana" w:hAnsi="Verdana"/>
                <w:sz w:val="18"/>
                <w:szCs w:val="18"/>
              </w:rPr>
              <w:t xml:space="preserve">Son slaytlar, eğiticinin öğrenme hedeflerini </w:t>
            </w:r>
            <w:r w:rsidR="00C35E78" w:rsidRPr="008E28F6">
              <w:rPr>
                <w:rFonts w:ascii="Verdana" w:hAnsi="Verdana"/>
                <w:sz w:val="18"/>
                <w:szCs w:val="18"/>
              </w:rPr>
              <w:t xml:space="preserve">katılımcılarla </w:t>
            </w:r>
            <w:r w:rsidRPr="008E28F6">
              <w:rPr>
                <w:rFonts w:ascii="Verdana" w:hAnsi="Verdana"/>
                <w:sz w:val="18"/>
                <w:szCs w:val="18"/>
              </w:rPr>
              <w:t>birlikte gözden geçirmesine ve hedefler</w:t>
            </w:r>
            <w:r w:rsidR="00CE1225" w:rsidRPr="008E28F6">
              <w:rPr>
                <w:rFonts w:ascii="Verdana" w:hAnsi="Verdana"/>
                <w:sz w:val="18"/>
                <w:szCs w:val="18"/>
              </w:rPr>
              <w:t>in gerçekleştirildiğinden</w:t>
            </w:r>
            <w:r w:rsidRPr="008E28F6">
              <w:rPr>
                <w:rFonts w:ascii="Verdana" w:hAnsi="Verdana"/>
                <w:sz w:val="18"/>
                <w:szCs w:val="18"/>
              </w:rPr>
              <w:t xml:space="preserve"> emin olmasına olanak tanır.</w:t>
            </w:r>
          </w:p>
          <w:p w14:paraId="55ED93E8" w14:textId="77777777" w:rsidR="005F709E" w:rsidRPr="008E28F6" w:rsidRDefault="00E15BFC" w:rsidP="008E28F6">
            <w:pPr>
              <w:spacing w:before="120" w:after="120" w:line="260" w:lineRule="atLeast"/>
              <w:jc w:val="both"/>
              <w:rPr>
                <w:rFonts w:ascii="Verdana" w:hAnsi="Verdana"/>
                <w:sz w:val="18"/>
                <w:szCs w:val="18"/>
              </w:rPr>
            </w:pPr>
            <w:r w:rsidRPr="008E28F6">
              <w:rPr>
                <w:rFonts w:ascii="Verdana" w:hAnsi="Verdana"/>
                <w:sz w:val="18"/>
                <w:szCs w:val="18"/>
              </w:rPr>
              <w:t xml:space="preserve">Ayrıca, bu bölüm </w:t>
            </w:r>
            <w:r w:rsidR="00C35E78" w:rsidRPr="008E28F6">
              <w:rPr>
                <w:rFonts w:ascii="Verdana" w:hAnsi="Verdana"/>
                <w:sz w:val="18"/>
                <w:szCs w:val="18"/>
              </w:rPr>
              <w:t>katılımcılar</w:t>
            </w:r>
            <w:r w:rsidR="0074338E" w:rsidRPr="008E28F6">
              <w:rPr>
                <w:rFonts w:ascii="Verdana" w:hAnsi="Verdana"/>
                <w:sz w:val="18"/>
                <w:szCs w:val="18"/>
              </w:rPr>
              <w:t>ın</w:t>
            </w:r>
            <w:r w:rsidR="00C35E78" w:rsidRPr="008E28F6">
              <w:rPr>
                <w:rFonts w:ascii="Verdana" w:hAnsi="Verdana"/>
                <w:sz w:val="18"/>
                <w:szCs w:val="18"/>
              </w:rPr>
              <w:t xml:space="preserve"> </w:t>
            </w:r>
            <w:r w:rsidR="0074338E" w:rsidRPr="008E28F6">
              <w:rPr>
                <w:rFonts w:ascii="Verdana" w:hAnsi="Verdana"/>
                <w:sz w:val="18"/>
                <w:szCs w:val="18"/>
              </w:rPr>
              <w:t xml:space="preserve">merak ettikleri veya sunulan konularda tam olarak anlamadıkları hususları belirtmeleri için de bir fırsattır. </w:t>
            </w:r>
            <w:r w:rsidRPr="008E28F6">
              <w:rPr>
                <w:rFonts w:ascii="Verdana" w:hAnsi="Verdana"/>
                <w:sz w:val="18"/>
                <w:szCs w:val="18"/>
              </w:rPr>
              <w:t xml:space="preserve">Ek olarak, </w:t>
            </w:r>
            <w:r w:rsidR="00C35E78" w:rsidRPr="008E28F6">
              <w:rPr>
                <w:rFonts w:ascii="Verdana" w:hAnsi="Verdana"/>
                <w:sz w:val="18"/>
                <w:szCs w:val="18"/>
              </w:rPr>
              <w:t>eğitici</w:t>
            </w:r>
            <w:r w:rsidRPr="008E28F6">
              <w:rPr>
                <w:rFonts w:ascii="Verdana" w:hAnsi="Verdana"/>
                <w:sz w:val="18"/>
                <w:szCs w:val="18"/>
              </w:rPr>
              <w:t xml:space="preserve">, katılımcılara sorular sorarak öğrenilen bilgileri </w:t>
            </w:r>
            <w:r w:rsidR="00C35E78" w:rsidRPr="008E28F6">
              <w:rPr>
                <w:rFonts w:ascii="Verdana" w:hAnsi="Verdana"/>
                <w:sz w:val="18"/>
                <w:szCs w:val="18"/>
              </w:rPr>
              <w:t>ölçmek</w:t>
            </w:r>
            <w:r w:rsidRPr="008E28F6">
              <w:rPr>
                <w:rFonts w:ascii="Verdana" w:hAnsi="Verdana"/>
                <w:sz w:val="18"/>
                <w:szCs w:val="18"/>
              </w:rPr>
              <w:t xml:space="preserve"> için oturumu kullanabilir. </w:t>
            </w:r>
            <w:r w:rsidR="00C35E78" w:rsidRPr="008E28F6">
              <w:rPr>
                <w:rFonts w:ascii="Verdana" w:hAnsi="Verdana"/>
                <w:sz w:val="18"/>
                <w:szCs w:val="18"/>
              </w:rPr>
              <w:t xml:space="preserve">Bu ders </w:t>
            </w:r>
            <w:r w:rsidRPr="008E28F6">
              <w:rPr>
                <w:rFonts w:ascii="Verdana" w:hAnsi="Verdana"/>
                <w:sz w:val="18"/>
                <w:szCs w:val="18"/>
              </w:rPr>
              <w:t xml:space="preserve">için resmi bir değerlendirme </w:t>
            </w:r>
            <w:r w:rsidR="00C35E78" w:rsidRPr="008E28F6">
              <w:rPr>
                <w:rFonts w:ascii="Verdana" w:hAnsi="Verdana"/>
                <w:sz w:val="18"/>
                <w:szCs w:val="18"/>
              </w:rPr>
              <w:t xml:space="preserve">yapılmayacağından </w:t>
            </w:r>
            <w:r w:rsidRPr="008E28F6">
              <w:rPr>
                <w:rFonts w:ascii="Verdana" w:hAnsi="Verdana"/>
                <w:sz w:val="18"/>
                <w:szCs w:val="18"/>
              </w:rPr>
              <w:t xml:space="preserve">bu </w:t>
            </w:r>
            <w:r w:rsidR="00C35E78" w:rsidRPr="008E28F6">
              <w:rPr>
                <w:rFonts w:ascii="Verdana" w:hAnsi="Verdana"/>
                <w:sz w:val="18"/>
                <w:szCs w:val="18"/>
              </w:rPr>
              <w:t xml:space="preserve">ölçüm </w:t>
            </w:r>
            <w:r w:rsidRPr="008E28F6">
              <w:rPr>
                <w:rFonts w:ascii="Verdana" w:hAnsi="Verdana"/>
                <w:sz w:val="18"/>
                <w:szCs w:val="18"/>
              </w:rPr>
              <w:t>önemlidir.</w:t>
            </w:r>
          </w:p>
        </w:tc>
      </w:tr>
      <w:tr w:rsidR="00E15BFC" w:rsidRPr="008E28F6" w14:paraId="39ED2B96" w14:textId="77777777" w:rsidTr="00F1574D">
        <w:trPr>
          <w:trHeight w:val="890"/>
        </w:trPr>
        <w:tc>
          <w:tcPr>
            <w:tcW w:w="9010" w:type="dxa"/>
            <w:gridSpan w:val="3"/>
            <w:vAlign w:val="center"/>
          </w:tcPr>
          <w:p w14:paraId="18EF5BBC" w14:textId="77777777" w:rsidR="00E15BFC" w:rsidRPr="008E28F6" w:rsidRDefault="00C35E78" w:rsidP="008E28F6">
            <w:pPr>
              <w:spacing w:before="120" w:after="120" w:line="260" w:lineRule="atLeast"/>
              <w:rPr>
                <w:rFonts w:ascii="Verdana" w:hAnsi="Verdana"/>
                <w:b/>
                <w:sz w:val="22"/>
                <w:szCs w:val="22"/>
              </w:rPr>
            </w:pPr>
            <w:r w:rsidRPr="008E28F6">
              <w:rPr>
                <w:rFonts w:ascii="Verdana" w:hAnsi="Verdana"/>
                <w:b/>
                <w:sz w:val="22"/>
                <w:szCs w:val="22"/>
              </w:rPr>
              <w:t>Uygulamalı Egzersizler</w:t>
            </w:r>
          </w:p>
          <w:p w14:paraId="319EF36B" w14:textId="77777777" w:rsidR="00E15BFC" w:rsidRPr="008E28F6" w:rsidRDefault="00E15BFC" w:rsidP="008E28F6">
            <w:pPr>
              <w:spacing w:before="120" w:after="120" w:line="260" w:lineRule="atLeast"/>
              <w:rPr>
                <w:rFonts w:ascii="Verdana" w:hAnsi="Verdana"/>
                <w:sz w:val="18"/>
                <w:szCs w:val="18"/>
              </w:rPr>
            </w:pPr>
            <w:r w:rsidRPr="008E28F6">
              <w:rPr>
                <w:rFonts w:ascii="Verdana" w:hAnsi="Verdana"/>
                <w:color w:val="000000" w:themeColor="text1"/>
                <w:sz w:val="18"/>
                <w:szCs w:val="18"/>
              </w:rPr>
              <w:t>Bu ders</w:t>
            </w:r>
            <w:r w:rsidR="00C35E78" w:rsidRPr="008E28F6">
              <w:rPr>
                <w:rFonts w:ascii="Verdana" w:hAnsi="Verdana"/>
                <w:color w:val="000000" w:themeColor="text1"/>
                <w:sz w:val="18"/>
                <w:szCs w:val="18"/>
              </w:rPr>
              <w:t xml:space="preserve"> için</w:t>
            </w:r>
            <w:r w:rsidRPr="008E28F6">
              <w:rPr>
                <w:rFonts w:ascii="Verdana" w:hAnsi="Verdana"/>
                <w:color w:val="000000" w:themeColor="text1"/>
                <w:sz w:val="18"/>
                <w:szCs w:val="18"/>
              </w:rPr>
              <w:t xml:space="preserve"> vaka çalışması öngörülmektedir.</w:t>
            </w:r>
          </w:p>
        </w:tc>
      </w:tr>
      <w:tr w:rsidR="00E15BFC" w:rsidRPr="008E28F6" w14:paraId="7BDB1138" w14:textId="77777777" w:rsidTr="00F1574D">
        <w:tc>
          <w:tcPr>
            <w:tcW w:w="9010" w:type="dxa"/>
            <w:gridSpan w:val="3"/>
            <w:vAlign w:val="center"/>
          </w:tcPr>
          <w:p w14:paraId="5AADD98E" w14:textId="77777777" w:rsidR="00E15BFC" w:rsidRPr="008E28F6" w:rsidRDefault="00E15BFC" w:rsidP="008E28F6">
            <w:pPr>
              <w:spacing w:before="120" w:after="120" w:line="260" w:lineRule="atLeast"/>
              <w:rPr>
                <w:rFonts w:ascii="Verdana" w:hAnsi="Verdana"/>
                <w:b/>
                <w:sz w:val="22"/>
                <w:szCs w:val="22"/>
              </w:rPr>
            </w:pPr>
            <w:r w:rsidRPr="008E28F6">
              <w:rPr>
                <w:rFonts w:ascii="Verdana" w:hAnsi="Verdana"/>
                <w:b/>
                <w:sz w:val="22"/>
                <w:szCs w:val="22"/>
              </w:rPr>
              <w:t>Değerlendirme/Bilgi Kontrolü</w:t>
            </w:r>
          </w:p>
          <w:p w14:paraId="5A80020A" w14:textId="77777777" w:rsidR="00E15BFC" w:rsidRPr="008E28F6" w:rsidRDefault="00E15BFC" w:rsidP="008E28F6">
            <w:pPr>
              <w:spacing w:before="120" w:after="120" w:line="260" w:lineRule="atLeast"/>
              <w:rPr>
                <w:rFonts w:ascii="Verdana" w:hAnsi="Verdana"/>
                <w:sz w:val="18"/>
                <w:szCs w:val="18"/>
              </w:rPr>
            </w:pPr>
            <w:r w:rsidRPr="008E28F6">
              <w:rPr>
                <w:rFonts w:ascii="Verdana" w:hAnsi="Verdana"/>
                <w:color w:val="000000" w:themeColor="text1"/>
                <w:sz w:val="18"/>
                <w:szCs w:val="18"/>
              </w:rPr>
              <w:t>Bu oturum için bilgi kontrolü veya değerlendirme</w:t>
            </w:r>
            <w:r w:rsidR="00F367CB" w:rsidRPr="008E28F6">
              <w:rPr>
                <w:rFonts w:ascii="Verdana" w:hAnsi="Verdana"/>
                <w:color w:val="000000" w:themeColor="text1"/>
                <w:sz w:val="18"/>
                <w:szCs w:val="18"/>
              </w:rPr>
              <w:t xml:space="preserve"> </w:t>
            </w:r>
            <w:r w:rsidR="00C35E78" w:rsidRPr="008E28F6">
              <w:rPr>
                <w:rFonts w:ascii="Verdana" w:hAnsi="Verdana"/>
                <w:color w:val="000000" w:themeColor="text1"/>
                <w:sz w:val="18"/>
                <w:szCs w:val="18"/>
              </w:rPr>
              <w:t>istenmemiştir</w:t>
            </w:r>
            <w:r w:rsidRPr="008E28F6">
              <w:rPr>
                <w:rFonts w:ascii="Verdana" w:hAnsi="Verdana"/>
                <w:color w:val="000000" w:themeColor="text1"/>
                <w:sz w:val="18"/>
                <w:szCs w:val="18"/>
              </w:rPr>
              <w:t>.</w:t>
            </w:r>
          </w:p>
        </w:tc>
      </w:tr>
    </w:tbl>
    <w:p w14:paraId="1E309E83" w14:textId="77777777" w:rsidR="00D82C18" w:rsidRPr="008E28F6" w:rsidRDefault="00D82C18" w:rsidP="008E28F6">
      <w:pPr>
        <w:spacing w:before="120" w:after="120" w:line="260" w:lineRule="atLeast"/>
        <w:rPr>
          <w:rFonts w:ascii="Verdana" w:hAnsi="Verdana"/>
        </w:rPr>
      </w:pPr>
    </w:p>
    <w:sectPr w:rsidR="00D82C18" w:rsidRPr="008E28F6"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3A42A5"/>
    <w:multiLevelType w:val="hybridMultilevel"/>
    <w:tmpl w:val="11D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B62F1"/>
    <w:multiLevelType w:val="hybridMultilevel"/>
    <w:tmpl w:val="13783DB4"/>
    <w:lvl w:ilvl="0" w:tplc="B51EAEB8">
      <w:start w:val="1"/>
      <w:numFmt w:val="bullet"/>
      <w:lvlText w:val=""/>
      <w:lvlJc w:val="left"/>
      <w:pPr>
        <w:tabs>
          <w:tab w:val="num" w:pos="720"/>
        </w:tabs>
        <w:ind w:left="720" w:hanging="360"/>
      </w:pPr>
      <w:rPr>
        <w:rFonts w:ascii="Wingdings" w:hAnsi="Wingdings" w:hint="default"/>
      </w:rPr>
    </w:lvl>
    <w:lvl w:ilvl="1" w:tplc="3D320296" w:tentative="1">
      <w:start w:val="1"/>
      <w:numFmt w:val="bullet"/>
      <w:lvlText w:val=""/>
      <w:lvlJc w:val="left"/>
      <w:pPr>
        <w:tabs>
          <w:tab w:val="num" w:pos="1440"/>
        </w:tabs>
        <w:ind w:left="1440" w:hanging="360"/>
      </w:pPr>
      <w:rPr>
        <w:rFonts w:ascii="Wingdings" w:hAnsi="Wingdings" w:hint="default"/>
      </w:rPr>
    </w:lvl>
    <w:lvl w:ilvl="2" w:tplc="9DCE74B6">
      <w:start w:val="1"/>
      <w:numFmt w:val="bullet"/>
      <w:lvlText w:val=""/>
      <w:lvlJc w:val="left"/>
      <w:pPr>
        <w:tabs>
          <w:tab w:val="num" w:pos="2160"/>
        </w:tabs>
        <w:ind w:left="2160" w:hanging="360"/>
      </w:pPr>
      <w:rPr>
        <w:rFonts w:ascii="Wingdings" w:hAnsi="Wingdings" w:hint="default"/>
      </w:rPr>
    </w:lvl>
    <w:lvl w:ilvl="3" w:tplc="F766B252" w:tentative="1">
      <w:start w:val="1"/>
      <w:numFmt w:val="bullet"/>
      <w:lvlText w:val=""/>
      <w:lvlJc w:val="left"/>
      <w:pPr>
        <w:tabs>
          <w:tab w:val="num" w:pos="2880"/>
        </w:tabs>
        <w:ind w:left="2880" w:hanging="360"/>
      </w:pPr>
      <w:rPr>
        <w:rFonts w:ascii="Wingdings" w:hAnsi="Wingdings" w:hint="default"/>
      </w:rPr>
    </w:lvl>
    <w:lvl w:ilvl="4" w:tplc="9F1A3074" w:tentative="1">
      <w:start w:val="1"/>
      <w:numFmt w:val="bullet"/>
      <w:lvlText w:val=""/>
      <w:lvlJc w:val="left"/>
      <w:pPr>
        <w:tabs>
          <w:tab w:val="num" w:pos="3600"/>
        </w:tabs>
        <w:ind w:left="3600" w:hanging="360"/>
      </w:pPr>
      <w:rPr>
        <w:rFonts w:ascii="Wingdings" w:hAnsi="Wingdings" w:hint="default"/>
      </w:rPr>
    </w:lvl>
    <w:lvl w:ilvl="5" w:tplc="616E0D7E" w:tentative="1">
      <w:start w:val="1"/>
      <w:numFmt w:val="bullet"/>
      <w:lvlText w:val=""/>
      <w:lvlJc w:val="left"/>
      <w:pPr>
        <w:tabs>
          <w:tab w:val="num" w:pos="4320"/>
        </w:tabs>
        <w:ind w:left="4320" w:hanging="360"/>
      </w:pPr>
      <w:rPr>
        <w:rFonts w:ascii="Wingdings" w:hAnsi="Wingdings" w:hint="default"/>
      </w:rPr>
    </w:lvl>
    <w:lvl w:ilvl="6" w:tplc="E16C8AF6" w:tentative="1">
      <w:start w:val="1"/>
      <w:numFmt w:val="bullet"/>
      <w:lvlText w:val=""/>
      <w:lvlJc w:val="left"/>
      <w:pPr>
        <w:tabs>
          <w:tab w:val="num" w:pos="5040"/>
        </w:tabs>
        <w:ind w:left="5040" w:hanging="360"/>
      </w:pPr>
      <w:rPr>
        <w:rFonts w:ascii="Wingdings" w:hAnsi="Wingdings" w:hint="default"/>
      </w:rPr>
    </w:lvl>
    <w:lvl w:ilvl="7" w:tplc="6396DB1E" w:tentative="1">
      <w:start w:val="1"/>
      <w:numFmt w:val="bullet"/>
      <w:lvlText w:val=""/>
      <w:lvlJc w:val="left"/>
      <w:pPr>
        <w:tabs>
          <w:tab w:val="num" w:pos="5760"/>
        </w:tabs>
        <w:ind w:left="5760" w:hanging="360"/>
      </w:pPr>
      <w:rPr>
        <w:rFonts w:ascii="Wingdings" w:hAnsi="Wingdings" w:hint="default"/>
      </w:rPr>
    </w:lvl>
    <w:lvl w:ilvl="8" w:tplc="AFA85FC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5"/>
  </w:num>
  <w:num w:numId="4">
    <w:abstractNumId w:val="13"/>
  </w:num>
  <w:num w:numId="5">
    <w:abstractNumId w:val="14"/>
  </w:num>
  <w:num w:numId="6">
    <w:abstractNumId w:val="24"/>
  </w:num>
  <w:num w:numId="7">
    <w:abstractNumId w:val="8"/>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22"/>
  </w:num>
  <w:num w:numId="10">
    <w:abstractNumId w:val="4"/>
  </w:num>
  <w:num w:numId="11">
    <w:abstractNumId w:val="16"/>
  </w:num>
  <w:num w:numId="12">
    <w:abstractNumId w:val="21"/>
  </w:num>
  <w:num w:numId="13">
    <w:abstractNumId w:val="6"/>
  </w:num>
  <w:num w:numId="14">
    <w:abstractNumId w:val="10"/>
  </w:num>
  <w:num w:numId="15">
    <w:abstractNumId w:val="20"/>
  </w:num>
  <w:num w:numId="16">
    <w:abstractNumId w:val="2"/>
  </w:num>
  <w:num w:numId="17">
    <w:abstractNumId w:val="3"/>
  </w:num>
  <w:num w:numId="18">
    <w:abstractNumId w:val="23"/>
  </w:num>
  <w:num w:numId="19">
    <w:abstractNumId w:val="17"/>
  </w:num>
  <w:num w:numId="20">
    <w:abstractNumId w:val="7"/>
  </w:num>
  <w:num w:numId="21">
    <w:abstractNumId w:val="9"/>
  </w:num>
  <w:num w:numId="22">
    <w:abstractNumId w:val="18"/>
  </w:num>
  <w:num w:numId="23">
    <w:abstractNumId w:val="12"/>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82C18"/>
    <w:rsid w:val="00000C58"/>
    <w:rsid w:val="00006EAD"/>
    <w:rsid w:val="000C40EE"/>
    <w:rsid w:val="000F7896"/>
    <w:rsid w:val="00151E6A"/>
    <w:rsid w:val="001D603D"/>
    <w:rsid w:val="001F45E8"/>
    <w:rsid w:val="00204712"/>
    <w:rsid w:val="0023008E"/>
    <w:rsid w:val="00260809"/>
    <w:rsid w:val="00271010"/>
    <w:rsid w:val="002969D2"/>
    <w:rsid w:val="002E3ECE"/>
    <w:rsid w:val="002F3B54"/>
    <w:rsid w:val="00321E37"/>
    <w:rsid w:val="0034224C"/>
    <w:rsid w:val="00342639"/>
    <w:rsid w:val="003453F7"/>
    <w:rsid w:val="003630ED"/>
    <w:rsid w:val="00392092"/>
    <w:rsid w:val="003A435F"/>
    <w:rsid w:val="003B34C4"/>
    <w:rsid w:val="003C3B79"/>
    <w:rsid w:val="003F6587"/>
    <w:rsid w:val="00405DA8"/>
    <w:rsid w:val="00450007"/>
    <w:rsid w:val="0045500D"/>
    <w:rsid w:val="00457DD3"/>
    <w:rsid w:val="00491738"/>
    <w:rsid w:val="004B7351"/>
    <w:rsid w:val="004D35F1"/>
    <w:rsid w:val="004E74FC"/>
    <w:rsid w:val="00500F7F"/>
    <w:rsid w:val="00556D69"/>
    <w:rsid w:val="00563B62"/>
    <w:rsid w:val="005703B7"/>
    <w:rsid w:val="005A4E47"/>
    <w:rsid w:val="005B6A1E"/>
    <w:rsid w:val="005D4432"/>
    <w:rsid w:val="005D7794"/>
    <w:rsid w:val="005F709E"/>
    <w:rsid w:val="00642698"/>
    <w:rsid w:val="006527C6"/>
    <w:rsid w:val="00694153"/>
    <w:rsid w:val="006B6FDF"/>
    <w:rsid w:val="0074338E"/>
    <w:rsid w:val="0075334E"/>
    <w:rsid w:val="007658A9"/>
    <w:rsid w:val="007678A6"/>
    <w:rsid w:val="00773F6C"/>
    <w:rsid w:val="00784C50"/>
    <w:rsid w:val="007A0F13"/>
    <w:rsid w:val="0080315D"/>
    <w:rsid w:val="008147B2"/>
    <w:rsid w:val="00825884"/>
    <w:rsid w:val="00835200"/>
    <w:rsid w:val="00844FBF"/>
    <w:rsid w:val="008817F1"/>
    <w:rsid w:val="008A4C93"/>
    <w:rsid w:val="008E28F6"/>
    <w:rsid w:val="008E3FE7"/>
    <w:rsid w:val="008E4D2C"/>
    <w:rsid w:val="00913FDC"/>
    <w:rsid w:val="00951791"/>
    <w:rsid w:val="009D1DB1"/>
    <w:rsid w:val="009D5EE4"/>
    <w:rsid w:val="009E1EEC"/>
    <w:rsid w:val="009F336B"/>
    <w:rsid w:val="00A03CF0"/>
    <w:rsid w:val="00A31FA0"/>
    <w:rsid w:val="00A342ED"/>
    <w:rsid w:val="00A4110D"/>
    <w:rsid w:val="00A60446"/>
    <w:rsid w:val="00A734A5"/>
    <w:rsid w:val="00A76996"/>
    <w:rsid w:val="00AA5742"/>
    <w:rsid w:val="00AB07AA"/>
    <w:rsid w:val="00B3608C"/>
    <w:rsid w:val="00B40FCA"/>
    <w:rsid w:val="00B4746B"/>
    <w:rsid w:val="00B56791"/>
    <w:rsid w:val="00B766C8"/>
    <w:rsid w:val="00BA319A"/>
    <w:rsid w:val="00BA6A8F"/>
    <w:rsid w:val="00BD66DF"/>
    <w:rsid w:val="00BD7897"/>
    <w:rsid w:val="00C115FC"/>
    <w:rsid w:val="00C35E78"/>
    <w:rsid w:val="00C541A2"/>
    <w:rsid w:val="00CB02C4"/>
    <w:rsid w:val="00CB3026"/>
    <w:rsid w:val="00CC1F79"/>
    <w:rsid w:val="00CC2222"/>
    <w:rsid w:val="00CE1225"/>
    <w:rsid w:val="00D62CD0"/>
    <w:rsid w:val="00D62E5F"/>
    <w:rsid w:val="00D80A75"/>
    <w:rsid w:val="00D82C18"/>
    <w:rsid w:val="00DA59CD"/>
    <w:rsid w:val="00DA64B9"/>
    <w:rsid w:val="00E13BE7"/>
    <w:rsid w:val="00E15BFC"/>
    <w:rsid w:val="00E7344B"/>
    <w:rsid w:val="00E95703"/>
    <w:rsid w:val="00EE1E16"/>
    <w:rsid w:val="00F1338F"/>
    <w:rsid w:val="00F1574D"/>
    <w:rsid w:val="00F367CB"/>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BEE1"/>
  <w15:docId w15:val="{A0B8E486-72FD-43C0-AE5F-F742E611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62"/>
    <w:rPr>
      <w:lang w:val="tr-TR"/>
    </w:rPr>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835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15426990">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7848984">
      <w:bodyDiv w:val="1"/>
      <w:marLeft w:val="0"/>
      <w:marRight w:val="0"/>
      <w:marTop w:val="0"/>
      <w:marBottom w:val="0"/>
      <w:divBdr>
        <w:top w:val="none" w:sz="0" w:space="0" w:color="auto"/>
        <w:left w:val="none" w:sz="0" w:space="0" w:color="auto"/>
        <w:bottom w:val="none" w:sz="0" w:space="0" w:color="auto"/>
        <w:right w:val="none" w:sz="0" w:space="0" w:color="auto"/>
      </w:divBdr>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48599655">
      <w:bodyDiv w:val="1"/>
      <w:marLeft w:val="0"/>
      <w:marRight w:val="0"/>
      <w:marTop w:val="0"/>
      <w:marBottom w:val="0"/>
      <w:divBdr>
        <w:top w:val="none" w:sz="0" w:space="0" w:color="auto"/>
        <w:left w:val="none" w:sz="0" w:space="0" w:color="auto"/>
        <w:bottom w:val="none" w:sz="0" w:space="0" w:color="auto"/>
        <w:right w:val="none" w:sz="0" w:space="0" w:color="auto"/>
      </w:divBdr>
    </w:div>
    <w:div w:id="156116682">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2595047">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263853582">
      <w:bodyDiv w:val="1"/>
      <w:marLeft w:val="0"/>
      <w:marRight w:val="0"/>
      <w:marTop w:val="0"/>
      <w:marBottom w:val="0"/>
      <w:divBdr>
        <w:top w:val="none" w:sz="0" w:space="0" w:color="auto"/>
        <w:left w:val="none" w:sz="0" w:space="0" w:color="auto"/>
        <w:bottom w:val="none" w:sz="0" w:space="0" w:color="auto"/>
        <w:right w:val="none" w:sz="0" w:space="0" w:color="auto"/>
      </w:divBdr>
    </w:div>
    <w:div w:id="313993322">
      <w:bodyDiv w:val="1"/>
      <w:marLeft w:val="0"/>
      <w:marRight w:val="0"/>
      <w:marTop w:val="0"/>
      <w:marBottom w:val="0"/>
      <w:divBdr>
        <w:top w:val="none" w:sz="0" w:space="0" w:color="auto"/>
        <w:left w:val="none" w:sz="0" w:space="0" w:color="auto"/>
        <w:bottom w:val="none" w:sz="0" w:space="0" w:color="auto"/>
        <w:right w:val="none" w:sz="0" w:space="0" w:color="auto"/>
      </w:divBdr>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25772210">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0542076">
      <w:bodyDiv w:val="1"/>
      <w:marLeft w:val="0"/>
      <w:marRight w:val="0"/>
      <w:marTop w:val="0"/>
      <w:marBottom w:val="0"/>
      <w:divBdr>
        <w:top w:val="none" w:sz="0" w:space="0" w:color="auto"/>
        <w:left w:val="none" w:sz="0" w:space="0" w:color="auto"/>
        <w:bottom w:val="none" w:sz="0" w:space="0" w:color="auto"/>
        <w:right w:val="none" w:sz="0" w:space="0" w:color="auto"/>
      </w:divBdr>
      <w:divsChild>
        <w:div w:id="237054755">
          <w:marLeft w:val="547"/>
          <w:marRight w:val="0"/>
          <w:marTop w:val="0"/>
          <w:marBottom w:val="0"/>
          <w:divBdr>
            <w:top w:val="none" w:sz="0" w:space="0" w:color="auto"/>
            <w:left w:val="none" w:sz="0" w:space="0" w:color="auto"/>
            <w:bottom w:val="none" w:sz="0" w:space="0" w:color="auto"/>
            <w:right w:val="none" w:sz="0" w:space="0" w:color="auto"/>
          </w:divBdr>
        </w:div>
        <w:div w:id="2094619811">
          <w:marLeft w:val="547"/>
          <w:marRight w:val="0"/>
          <w:marTop w:val="0"/>
          <w:marBottom w:val="0"/>
          <w:divBdr>
            <w:top w:val="none" w:sz="0" w:space="0" w:color="auto"/>
            <w:left w:val="none" w:sz="0" w:space="0" w:color="auto"/>
            <w:bottom w:val="none" w:sz="0" w:space="0" w:color="auto"/>
            <w:right w:val="none" w:sz="0" w:space="0" w:color="auto"/>
          </w:divBdr>
        </w:div>
        <w:div w:id="1723601332">
          <w:marLeft w:val="547"/>
          <w:marRight w:val="0"/>
          <w:marTop w:val="0"/>
          <w:marBottom w:val="0"/>
          <w:divBdr>
            <w:top w:val="none" w:sz="0" w:space="0" w:color="auto"/>
            <w:left w:val="none" w:sz="0" w:space="0" w:color="auto"/>
            <w:bottom w:val="none" w:sz="0" w:space="0" w:color="auto"/>
            <w:right w:val="none" w:sz="0" w:space="0" w:color="auto"/>
          </w:divBdr>
        </w:div>
      </w:divsChild>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17275111">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77198785">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12000265">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31658200">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13280759">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1713</Words>
  <Characters>9768</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ERENOGLU CONSULTANCY TRANSLATION</dc:creator>
  <cp:keywords/>
  <dc:description>ERENOGLU CONSULTANCY TRANSLATION_x000d_
GSM    : (+90 532) 235 58 23_x000d_
Tel         : (+90 312) 441 91 00 (pbx)_x000d_
Web      : www.erenoglu.com.tr_x000d_
e-mail   : erenoglu@erenoglu.com.tr_x000d_
ANKARA – TURKIYE (TURKEY)_x000d_
</dc:description>
  <cp:lastModifiedBy>CEAUSU Diana</cp:lastModifiedBy>
  <cp:revision>10</cp:revision>
  <dcterms:created xsi:type="dcterms:W3CDTF">2021-04-08T11:01:00Z</dcterms:created>
  <dcterms:modified xsi:type="dcterms:W3CDTF">2021-05-04T12:06:00Z</dcterms:modified>
</cp:coreProperties>
</file>