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6F7D23C7" w:rsidR="00D82C18" w:rsidRPr="00B3608C" w:rsidRDefault="00334BD0" w:rsidP="000F7896">
      <w:pPr>
        <w:rPr>
          <w:rFonts w:ascii="Verdana" w:hAnsi="Verdana"/>
        </w:rPr>
      </w:pPr>
      <w:r w:rsidRPr="00773F6C">
        <w:rPr>
          <w:rFonts w:ascii="Verdana" w:hAnsi="Verdana"/>
          <w:b/>
          <w:bCs/>
          <w:sz w:val="28"/>
          <w:szCs w:val="28"/>
        </w:rPr>
        <w:t xml:space="preserve">Lesson </w:t>
      </w:r>
      <w:r w:rsidR="00D92E47">
        <w:rPr>
          <w:rFonts w:ascii="Verdana" w:hAnsi="Verdana"/>
          <w:b/>
          <w:bCs/>
          <w:sz w:val="28"/>
          <w:szCs w:val="28"/>
        </w:rPr>
        <w:t>3</w:t>
      </w:r>
      <w:r w:rsidRPr="00773F6C">
        <w:rPr>
          <w:rFonts w:ascii="Verdana" w:hAnsi="Verdana"/>
          <w:b/>
          <w:bCs/>
          <w:sz w:val="28"/>
          <w:szCs w:val="28"/>
        </w:rPr>
        <w:t>.</w:t>
      </w:r>
      <w:r w:rsidR="00D92E47">
        <w:rPr>
          <w:rFonts w:ascii="Verdana" w:hAnsi="Verdana"/>
          <w:b/>
          <w:bCs/>
          <w:sz w:val="28"/>
          <w:szCs w:val="28"/>
        </w:rPr>
        <w:t>1</w:t>
      </w:r>
      <w:r w:rsidRPr="00773F6C">
        <w:rPr>
          <w:rFonts w:ascii="Verdana" w:hAnsi="Verdana"/>
          <w:b/>
          <w:bCs/>
          <w:sz w:val="28"/>
          <w:szCs w:val="28"/>
        </w:rPr>
        <w:t xml:space="preserve"> </w:t>
      </w:r>
      <w:r w:rsidR="00D92E47">
        <w:rPr>
          <w:rFonts w:ascii="Verdana" w:hAnsi="Verdana"/>
          <w:b/>
          <w:bCs/>
          <w:color w:val="000000" w:themeColor="text1"/>
          <w:sz w:val="28"/>
          <w:szCs w:val="28"/>
        </w:rPr>
        <w:t>Private-Public Partnership &amp; Cooperation</w:t>
      </w:r>
    </w:p>
    <w:p w14:paraId="1D0E3DC5" w14:textId="5CDDAB4C"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247B74A7" w:rsidR="00D82C18" w:rsidRPr="00D82C18" w:rsidRDefault="00C115FC" w:rsidP="00C115FC">
            <w:pPr>
              <w:rPr>
                <w:rFonts w:ascii="Verdana" w:hAnsi="Verdana"/>
                <w:sz w:val="22"/>
                <w:szCs w:val="22"/>
              </w:rPr>
            </w:pPr>
            <w:r>
              <w:rPr>
                <w:rFonts w:ascii="Verdana" w:hAnsi="Verdana"/>
                <w:sz w:val="22"/>
                <w:szCs w:val="22"/>
              </w:rPr>
              <w:t xml:space="preserve">Lesson </w:t>
            </w:r>
            <w:r w:rsidR="00D92E47">
              <w:rPr>
                <w:rFonts w:ascii="Verdana" w:hAnsi="Verdana"/>
                <w:sz w:val="22"/>
                <w:szCs w:val="22"/>
              </w:rPr>
              <w:t>3</w:t>
            </w:r>
            <w:r w:rsidR="00C70C5C">
              <w:rPr>
                <w:rFonts w:ascii="Verdana" w:hAnsi="Verdana"/>
                <w:sz w:val="22"/>
                <w:szCs w:val="22"/>
              </w:rPr>
              <w:t>.</w:t>
            </w:r>
            <w:r w:rsidR="00D92E47">
              <w:rPr>
                <w:rFonts w:ascii="Verdana" w:hAnsi="Verdana"/>
                <w:sz w:val="22"/>
                <w:szCs w:val="22"/>
              </w:rPr>
              <w:t>1</w:t>
            </w:r>
            <w:r w:rsidR="00334BD0">
              <w:rPr>
                <w:rFonts w:ascii="Verdana" w:hAnsi="Verdana"/>
                <w:sz w:val="22"/>
                <w:szCs w:val="22"/>
              </w:rPr>
              <w:t xml:space="preserve"> </w:t>
            </w:r>
            <w:r w:rsidR="00D92E47">
              <w:rPr>
                <w:rFonts w:ascii="Verdana" w:hAnsi="Verdana"/>
                <w:sz w:val="22"/>
                <w:szCs w:val="22"/>
              </w:rPr>
              <w:t>Private-Public Partnership &amp; Cooperation</w:t>
            </w:r>
          </w:p>
        </w:tc>
        <w:tc>
          <w:tcPr>
            <w:tcW w:w="2165" w:type="dxa"/>
            <w:shd w:val="clear" w:color="auto" w:fill="DEEAF6" w:themeFill="accent5" w:themeFillTint="33"/>
            <w:vAlign w:val="center"/>
          </w:tcPr>
          <w:p w14:paraId="30B631DA" w14:textId="3F205F3C"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D92E47">
              <w:rPr>
                <w:rFonts w:ascii="Verdana" w:hAnsi="Verdana"/>
                <w:color w:val="000000" w:themeColor="text1"/>
                <w:sz w:val="22"/>
                <w:szCs w:val="22"/>
              </w:rPr>
              <w:t xml:space="preserve">90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CE2B632" w14:textId="77777777" w:rsidR="00334BD0" w:rsidRPr="000F7896" w:rsidRDefault="00334BD0" w:rsidP="00334BD0">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707460B9" w14:textId="77777777" w:rsidR="00334BD0" w:rsidRPr="000F7896" w:rsidRDefault="00334BD0" w:rsidP="00334BD0">
            <w:pPr>
              <w:pStyle w:val="bul1"/>
              <w:numPr>
                <w:ilvl w:val="0"/>
                <w:numId w:val="6"/>
              </w:numPr>
              <w:spacing w:line="280" w:lineRule="exact"/>
              <w:rPr>
                <w:rFonts w:ascii="Symbol" w:hAnsi="Symbol"/>
                <w:lang w:val="en-GB"/>
              </w:rPr>
            </w:pPr>
            <w:r w:rsidRPr="000F7896">
              <w:rPr>
                <w:lang w:val="en-GB"/>
              </w:rPr>
              <w:t xml:space="preserve">Internet access (if available) </w:t>
            </w:r>
          </w:p>
          <w:p w14:paraId="14CF9EF0" w14:textId="35276DFC" w:rsidR="000F7896" w:rsidRPr="00645E05" w:rsidRDefault="00334BD0" w:rsidP="00645E05">
            <w:pPr>
              <w:pStyle w:val="bul1"/>
              <w:numPr>
                <w:ilvl w:val="0"/>
                <w:numId w:val="6"/>
              </w:numPr>
              <w:spacing w:line="280" w:lineRule="exact"/>
              <w:rPr>
                <w:rFonts w:ascii="Symbol" w:hAnsi="Symbol"/>
                <w:lang w:val="en-GB"/>
              </w:rPr>
            </w:pPr>
            <w:r w:rsidRPr="000F7896">
              <w:rPr>
                <w:lang w:val="en-GB"/>
              </w:rPr>
              <w:t>PowerPoint or other presentation</w:t>
            </w:r>
            <w:r>
              <w:rPr>
                <w:lang w:val="en-GB"/>
              </w:rPr>
              <w:t xml:space="preserve"> software</w:t>
            </w:r>
          </w:p>
        </w:tc>
      </w:tr>
      <w:tr w:rsidR="00E7344B" w:rsidRPr="00D82C18" w14:paraId="635F2EFD" w14:textId="77777777" w:rsidTr="00334BD0">
        <w:trPr>
          <w:trHeight w:val="1284"/>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FE58655" w14:textId="008AE008" w:rsidR="00A03CF0" w:rsidRPr="000F7896" w:rsidRDefault="00C71591" w:rsidP="00FA5D5D">
            <w:pPr>
              <w:spacing w:before="120" w:after="120" w:line="280" w:lineRule="exact"/>
              <w:jc w:val="both"/>
              <w:rPr>
                <w:rFonts w:ascii="Verdana" w:hAnsi="Verdana"/>
                <w:i/>
                <w:color w:val="FF0000"/>
                <w:sz w:val="18"/>
                <w:szCs w:val="18"/>
              </w:rPr>
            </w:pPr>
            <w:r>
              <w:rPr>
                <w:rFonts w:ascii="Verdana" w:eastAsia="Times New Roman" w:hAnsi="Verdana" w:cs="Times New Roman"/>
                <w:sz w:val="18"/>
                <w:szCs w:val="18"/>
              </w:rPr>
              <w:t xml:space="preserve">The aim of this session is to </w:t>
            </w:r>
            <w:r w:rsidRPr="0099769B">
              <w:rPr>
                <w:rFonts w:ascii="Verdana" w:eastAsia="Times New Roman" w:hAnsi="Verdana" w:cs="Times New Roman"/>
                <w:sz w:val="18"/>
                <w:szCs w:val="18"/>
              </w:rPr>
              <w:t xml:space="preserve">provide the participants with </w:t>
            </w:r>
            <w:r w:rsidR="00645E05">
              <w:rPr>
                <w:rFonts w:ascii="Verdana" w:eastAsia="Times New Roman" w:hAnsi="Verdana" w:cs="Times New Roman"/>
                <w:sz w:val="18"/>
                <w:szCs w:val="18"/>
              </w:rPr>
              <w:t xml:space="preserve">an understanding of </w:t>
            </w:r>
            <w:r w:rsidR="00D92E47">
              <w:rPr>
                <w:rFonts w:ascii="Verdana" w:eastAsia="Times New Roman" w:hAnsi="Verdana" w:cs="Times New Roman"/>
                <w:sz w:val="18"/>
                <w:szCs w:val="18"/>
              </w:rPr>
              <w:t>how to conduct public</w:t>
            </w:r>
            <w:r w:rsidR="00FE4BFE">
              <w:rPr>
                <w:rFonts w:ascii="Verdana" w:eastAsia="Times New Roman" w:hAnsi="Verdana" w:cs="Times New Roman"/>
                <w:sz w:val="18"/>
                <w:szCs w:val="18"/>
              </w:rPr>
              <w:t>-private</w:t>
            </w:r>
            <w:r w:rsidR="00D92E47">
              <w:rPr>
                <w:rFonts w:ascii="Verdana" w:eastAsia="Times New Roman" w:hAnsi="Verdana" w:cs="Times New Roman"/>
                <w:sz w:val="18"/>
                <w:szCs w:val="18"/>
              </w:rPr>
              <w:t xml:space="preserve"> cooperation, with a particular focus on seeking cooperation from global service providers through channels other than mutual legal assistance requests.</w:t>
            </w:r>
          </w:p>
        </w:tc>
      </w:tr>
      <w:tr w:rsidR="00A03CF0" w:rsidRPr="00D82C18" w14:paraId="1B5A80A7" w14:textId="77777777" w:rsidTr="001E7389">
        <w:trPr>
          <w:trHeight w:val="983"/>
        </w:trPr>
        <w:tc>
          <w:tcPr>
            <w:tcW w:w="9010" w:type="dxa"/>
            <w:gridSpan w:val="3"/>
            <w:vAlign w:val="center"/>
          </w:tcPr>
          <w:p w14:paraId="559A7E05" w14:textId="77777777" w:rsidR="00A03CF0" w:rsidRPr="00645E05" w:rsidRDefault="00271010" w:rsidP="00F62A15">
            <w:pPr>
              <w:spacing w:before="120" w:after="120" w:line="280" w:lineRule="exact"/>
              <w:contextualSpacing/>
              <w:rPr>
                <w:rFonts w:ascii="Verdana" w:hAnsi="Verdana"/>
                <w:b/>
                <w:sz w:val="22"/>
                <w:szCs w:val="22"/>
              </w:rPr>
            </w:pPr>
            <w:r w:rsidRPr="00645E05">
              <w:rPr>
                <w:rFonts w:ascii="Verdana" w:hAnsi="Verdana"/>
                <w:b/>
                <w:sz w:val="22"/>
                <w:szCs w:val="22"/>
              </w:rPr>
              <w:t>Objectives:</w:t>
            </w:r>
          </w:p>
          <w:p w14:paraId="7552C5F6" w14:textId="77777777" w:rsidR="000F7896" w:rsidRPr="00645E05" w:rsidRDefault="000F7896" w:rsidP="000F7896">
            <w:pPr>
              <w:tabs>
                <w:tab w:val="left" w:pos="426"/>
                <w:tab w:val="left" w:pos="851"/>
              </w:tabs>
              <w:rPr>
                <w:rFonts w:ascii="Verdana" w:eastAsia="Times New Roman" w:hAnsi="Verdana" w:cs="Times New Roman"/>
                <w:sz w:val="18"/>
                <w:szCs w:val="18"/>
              </w:rPr>
            </w:pPr>
            <w:r w:rsidRPr="00645E05">
              <w:rPr>
                <w:rFonts w:ascii="Verdana" w:eastAsia="Times New Roman" w:hAnsi="Verdana" w:cs="Times New Roman"/>
                <w:sz w:val="18"/>
                <w:szCs w:val="18"/>
              </w:rPr>
              <w:t>By the end of this session delegates will be able to:</w:t>
            </w:r>
          </w:p>
          <w:p w14:paraId="107FE003" w14:textId="77777777" w:rsidR="00D92E47" w:rsidRPr="00D92E47" w:rsidRDefault="00D92E47" w:rsidP="00D92E47">
            <w:pPr>
              <w:pStyle w:val="bul1"/>
              <w:numPr>
                <w:ilvl w:val="0"/>
                <w:numId w:val="11"/>
              </w:numPr>
              <w:rPr>
                <w:lang w:val="en-PK"/>
              </w:rPr>
            </w:pPr>
            <w:r w:rsidRPr="00D92E47">
              <w:t>Review primary classifications of data and information held by private sector</w:t>
            </w:r>
          </w:p>
          <w:p w14:paraId="14C19794" w14:textId="77777777" w:rsidR="00D92E47" w:rsidRPr="00D92E47" w:rsidRDefault="00D92E47" w:rsidP="00D92E47">
            <w:pPr>
              <w:pStyle w:val="bul1"/>
              <w:numPr>
                <w:ilvl w:val="0"/>
                <w:numId w:val="11"/>
              </w:numPr>
              <w:rPr>
                <w:lang w:val="en-PK"/>
              </w:rPr>
            </w:pPr>
            <w:r w:rsidRPr="00D92E47">
              <w:t>Understand key considerations when cooperating with domestic service providers</w:t>
            </w:r>
          </w:p>
          <w:p w14:paraId="61E0BCFD" w14:textId="77777777" w:rsidR="00D92E47" w:rsidRPr="00D92E47" w:rsidRDefault="00D92E47" w:rsidP="00D92E47">
            <w:pPr>
              <w:pStyle w:val="bul1"/>
              <w:numPr>
                <w:ilvl w:val="0"/>
                <w:numId w:val="11"/>
              </w:numPr>
              <w:rPr>
                <w:lang w:val="en-PK"/>
              </w:rPr>
            </w:pPr>
            <w:r w:rsidRPr="00D92E47">
              <w:t xml:space="preserve">Discuss mechanisms for cooperation with foreign service providers for acquisition of data including MLATs, emergency requests, production orders and voluntary cooperation </w:t>
            </w:r>
          </w:p>
          <w:p w14:paraId="17BDDA9E" w14:textId="77777777" w:rsidR="00D92E47" w:rsidRPr="00D92E47" w:rsidRDefault="00D92E47" w:rsidP="00D92E47">
            <w:pPr>
              <w:pStyle w:val="bul1"/>
              <w:numPr>
                <w:ilvl w:val="0"/>
                <w:numId w:val="11"/>
              </w:numPr>
              <w:rPr>
                <w:lang w:val="en-PK"/>
              </w:rPr>
            </w:pPr>
            <w:r w:rsidRPr="00D92E47">
              <w:t>Discuss mechanisms for cooperation with foreign service providers for removal of illegal content</w:t>
            </w:r>
          </w:p>
          <w:p w14:paraId="61ABEAC5" w14:textId="1A4DF730" w:rsidR="00C45A81" w:rsidRPr="00D92E47" w:rsidRDefault="00D92E47" w:rsidP="00D92E47">
            <w:pPr>
              <w:pStyle w:val="bul1"/>
              <w:numPr>
                <w:ilvl w:val="0"/>
                <w:numId w:val="11"/>
              </w:numPr>
              <w:rPr>
                <w:lang w:val="en-PK"/>
              </w:rPr>
            </w:pPr>
            <w:r w:rsidRPr="00D92E47">
              <w:t xml:space="preserve">Understand best practices for cooperating with foreign service providers </w:t>
            </w:r>
            <w:r w:rsidR="00645E05" w:rsidRPr="00D92E47">
              <w:rPr>
                <w:lang w:val="en-GB"/>
              </w:rPr>
              <w:t xml:space="preserve"> </w:t>
            </w:r>
          </w:p>
        </w:tc>
      </w:tr>
      <w:tr w:rsidR="005703B7" w:rsidRPr="00D82C18" w14:paraId="03110757" w14:textId="77777777" w:rsidTr="00E31F52">
        <w:trPr>
          <w:trHeight w:val="58"/>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t>Trainer Guidance</w:t>
            </w:r>
          </w:p>
          <w:p w14:paraId="5EFF4BEF" w14:textId="28D0D75A" w:rsidR="002738BB" w:rsidRPr="00411722" w:rsidRDefault="00411722" w:rsidP="00645E05">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 xml:space="preserve">This session has been divided in 5 parts, in addition to an introduction and conclusion. It provides a review of </w:t>
            </w:r>
            <w:r w:rsidR="002738BB">
              <w:rPr>
                <w:rFonts w:ascii="Verdana" w:hAnsi="Verdana"/>
                <w:color w:val="000000" w:themeColor="text1"/>
                <w:sz w:val="18"/>
                <w:szCs w:val="18"/>
              </w:rPr>
              <w:t xml:space="preserve">key definitions that will be relevant for this module. It then describes cooperation with domestic service providers – specifically how domestic law provisions corresponding to Articles 16 – 21 may be exercised in relation to domestic service providers. The next part of the session looks at cooperation with foreign service providers </w:t>
            </w:r>
            <w:r>
              <w:rPr>
                <w:rFonts w:ascii="Verdana" w:hAnsi="Verdana"/>
                <w:color w:val="000000" w:themeColor="text1"/>
                <w:sz w:val="18"/>
                <w:szCs w:val="18"/>
              </w:rPr>
              <w:t xml:space="preserve">in relation to </w:t>
            </w:r>
            <w:r w:rsidR="002738BB">
              <w:rPr>
                <w:rFonts w:ascii="Verdana" w:hAnsi="Verdana"/>
                <w:color w:val="000000" w:themeColor="text1"/>
                <w:sz w:val="18"/>
                <w:szCs w:val="18"/>
              </w:rPr>
              <w:t xml:space="preserve">acquisition of data. The session also </w:t>
            </w:r>
            <w:r>
              <w:rPr>
                <w:rFonts w:ascii="Verdana" w:hAnsi="Verdana"/>
                <w:color w:val="000000" w:themeColor="text1"/>
                <w:sz w:val="18"/>
                <w:szCs w:val="18"/>
              </w:rPr>
              <w:t xml:space="preserve">describes cooperation with foreign service providers in relation to removal of content. </w:t>
            </w:r>
            <w:r w:rsidR="00FE4BFE">
              <w:rPr>
                <w:rFonts w:ascii="Verdana" w:hAnsi="Verdana"/>
                <w:color w:val="000000" w:themeColor="text1"/>
                <w:sz w:val="18"/>
                <w:szCs w:val="18"/>
              </w:rPr>
              <w:t xml:space="preserve">This is followed by a case study. </w:t>
            </w:r>
            <w:r w:rsidR="002738BB">
              <w:rPr>
                <w:rFonts w:ascii="Verdana" w:hAnsi="Verdana"/>
                <w:color w:val="000000" w:themeColor="text1"/>
                <w:sz w:val="18"/>
                <w:szCs w:val="18"/>
              </w:rPr>
              <w:t xml:space="preserve">The trainer may wish to ask the participants, at the beginning of this session, to share their experiences in cooperating with service providers. This may help the trainer identify specific aspects in the course to focus on. </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0F04E4">
        <w:trPr>
          <w:trHeight w:val="591"/>
        </w:trPr>
        <w:tc>
          <w:tcPr>
            <w:tcW w:w="1525" w:type="dxa"/>
            <w:vAlign w:val="center"/>
          </w:tcPr>
          <w:p w14:paraId="67083237" w14:textId="2452878C"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C45A81">
              <w:rPr>
                <w:rFonts w:ascii="Verdana" w:hAnsi="Verdana"/>
                <w:sz w:val="18"/>
                <w:szCs w:val="18"/>
              </w:rPr>
              <w:t>3</w:t>
            </w:r>
          </w:p>
          <w:p w14:paraId="5A89CF27" w14:textId="6863FBB0" w:rsidR="00F1574D" w:rsidRPr="00F62A15"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6345B59" w14:textId="4EFB5D9E" w:rsidR="00556D69" w:rsidRPr="00C70C5C" w:rsidRDefault="00556D69" w:rsidP="00314D32">
            <w:pPr>
              <w:spacing w:before="120" w:after="120" w:line="360" w:lineRule="auto"/>
              <w:jc w:val="both"/>
              <w:rPr>
                <w:rFonts w:ascii="Verdana" w:hAnsi="Verdana"/>
                <w:color w:val="000000" w:themeColor="text1"/>
                <w:sz w:val="18"/>
                <w:szCs w:val="18"/>
              </w:rPr>
            </w:pPr>
            <w:r w:rsidRPr="00556D69">
              <w:rPr>
                <w:rFonts w:ascii="Verdana" w:hAnsi="Verdana"/>
                <w:color w:val="000000" w:themeColor="text1"/>
                <w:sz w:val="18"/>
                <w:szCs w:val="18"/>
              </w:rPr>
              <w:t xml:space="preserve">The opening slides are the introduction to the session and include the </w:t>
            </w:r>
            <w:r w:rsidR="00BA7368">
              <w:rPr>
                <w:rFonts w:ascii="Verdana" w:hAnsi="Verdana"/>
                <w:color w:val="000000" w:themeColor="text1"/>
                <w:sz w:val="18"/>
                <w:szCs w:val="18"/>
              </w:rPr>
              <w:t>a</w:t>
            </w:r>
            <w:r w:rsidRPr="00556D69">
              <w:rPr>
                <w:rFonts w:ascii="Verdana" w:hAnsi="Verdana"/>
                <w:color w:val="000000" w:themeColor="text1"/>
                <w:sz w:val="18"/>
                <w:szCs w:val="18"/>
              </w:rPr>
              <w:t xml:space="preserve">genda and the session </w:t>
            </w:r>
            <w:r w:rsidR="00BA7368">
              <w:rPr>
                <w:rFonts w:ascii="Verdana" w:hAnsi="Verdana"/>
                <w:color w:val="000000" w:themeColor="text1"/>
                <w:sz w:val="18"/>
                <w:szCs w:val="18"/>
              </w:rPr>
              <w:t xml:space="preserve">aims and </w:t>
            </w:r>
            <w:r w:rsidRPr="00556D69">
              <w:rPr>
                <w:rFonts w:ascii="Verdana" w:hAnsi="Verdana"/>
                <w:color w:val="000000" w:themeColor="text1"/>
                <w:sz w:val="18"/>
                <w:szCs w:val="18"/>
              </w:rPr>
              <w:t xml:space="preserve">objectives. </w:t>
            </w:r>
          </w:p>
        </w:tc>
      </w:tr>
      <w:tr w:rsidR="00F1574D" w:rsidRPr="00D82C18" w14:paraId="65F07CB5" w14:textId="77777777" w:rsidTr="00F1574D">
        <w:trPr>
          <w:trHeight w:val="1880"/>
        </w:trPr>
        <w:tc>
          <w:tcPr>
            <w:tcW w:w="1525" w:type="dxa"/>
            <w:vAlign w:val="center"/>
          </w:tcPr>
          <w:p w14:paraId="56AF6365" w14:textId="7B5E6D99" w:rsidR="00D82C18" w:rsidRDefault="00C45A81" w:rsidP="00F1574D">
            <w:pPr>
              <w:spacing w:before="120" w:after="120" w:line="280" w:lineRule="exact"/>
              <w:jc w:val="center"/>
              <w:rPr>
                <w:rFonts w:ascii="Verdana" w:hAnsi="Verdana"/>
                <w:sz w:val="18"/>
                <w:szCs w:val="18"/>
              </w:rPr>
            </w:pPr>
            <w:r>
              <w:rPr>
                <w:rFonts w:ascii="Verdana" w:hAnsi="Verdana"/>
                <w:sz w:val="18"/>
                <w:szCs w:val="18"/>
              </w:rPr>
              <w:lastRenderedPageBreak/>
              <w:t>4</w:t>
            </w:r>
            <w:r w:rsidR="003630ED" w:rsidRPr="003630ED">
              <w:rPr>
                <w:rFonts w:ascii="Verdana" w:hAnsi="Verdana"/>
                <w:sz w:val="18"/>
                <w:szCs w:val="18"/>
              </w:rPr>
              <w:t xml:space="preserve"> to </w:t>
            </w:r>
            <w:r w:rsidR="00645E05">
              <w:rPr>
                <w:rFonts w:ascii="Verdana" w:hAnsi="Verdana"/>
                <w:sz w:val="18"/>
                <w:szCs w:val="18"/>
              </w:rPr>
              <w:t>10</w:t>
            </w:r>
          </w:p>
          <w:p w14:paraId="6F5AEB2D" w14:textId="118CE65D" w:rsidR="00F1574D" w:rsidRPr="003630ED" w:rsidRDefault="00411722" w:rsidP="00F1574D">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649FEA68" w14:textId="0D5CEC66" w:rsidR="0062475C" w:rsidRPr="00C71591" w:rsidRDefault="00411722" w:rsidP="00C71591">
            <w:pPr>
              <w:spacing w:line="360" w:lineRule="auto"/>
              <w:jc w:val="both"/>
              <w:rPr>
                <w:rFonts w:ascii="Verdana" w:hAnsi="Verdana"/>
                <w:sz w:val="18"/>
                <w:szCs w:val="18"/>
              </w:rPr>
            </w:pPr>
            <w:r>
              <w:rPr>
                <w:rFonts w:ascii="Verdana" w:hAnsi="Verdana"/>
                <w:sz w:val="18"/>
                <w:szCs w:val="18"/>
              </w:rPr>
              <w:t xml:space="preserve">These slides review the key definitions of “service provider”, “traffic data” and “subscriber information”. It also includes a poll question. The trainer can choose not to cover these slides if the trainer feels the participants recall the meaning of these terms from earlier sessions. </w:t>
            </w:r>
          </w:p>
        </w:tc>
      </w:tr>
      <w:tr w:rsidR="00F1574D" w:rsidRPr="00D82C18" w14:paraId="15587DD6" w14:textId="77777777" w:rsidTr="00F1574D">
        <w:trPr>
          <w:trHeight w:val="1916"/>
        </w:trPr>
        <w:tc>
          <w:tcPr>
            <w:tcW w:w="1525" w:type="dxa"/>
            <w:vAlign w:val="center"/>
          </w:tcPr>
          <w:p w14:paraId="5EBB803A" w14:textId="29245ACC" w:rsidR="00556D69" w:rsidRPr="0084446A" w:rsidRDefault="00645E05" w:rsidP="00F1574D">
            <w:pPr>
              <w:spacing w:before="120" w:after="120" w:line="280" w:lineRule="exact"/>
              <w:jc w:val="center"/>
              <w:rPr>
                <w:rFonts w:ascii="Verdana" w:hAnsi="Verdana"/>
                <w:sz w:val="18"/>
                <w:szCs w:val="18"/>
              </w:rPr>
            </w:pPr>
            <w:r>
              <w:rPr>
                <w:rFonts w:ascii="Verdana" w:hAnsi="Verdana"/>
                <w:sz w:val="18"/>
                <w:szCs w:val="18"/>
              </w:rPr>
              <w:t xml:space="preserve">11 </w:t>
            </w:r>
            <w:r w:rsidR="00FE45CA" w:rsidRPr="0084446A">
              <w:rPr>
                <w:rFonts w:ascii="Verdana" w:hAnsi="Verdana"/>
                <w:sz w:val="18"/>
                <w:szCs w:val="18"/>
              </w:rPr>
              <w:t xml:space="preserve">to </w:t>
            </w:r>
            <w:r w:rsidR="00D429DB">
              <w:rPr>
                <w:rFonts w:ascii="Verdana" w:hAnsi="Verdana"/>
                <w:sz w:val="18"/>
                <w:szCs w:val="18"/>
              </w:rPr>
              <w:t>22</w:t>
            </w:r>
          </w:p>
          <w:p w14:paraId="65C32028" w14:textId="0ED7DF24" w:rsidR="00F1574D" w:rsidRPr="0084446A" w:rsidRDefault="00334BD0" w:rsidP="00F1574D">
            <w:pPr>
              <w:spacing w:before="120" w:after="120" w:line="280" w:lineRule="exact"/>
              <w:jc w:val="center"/>
              <w:rPr>
                <w:rFonts w:ascii="Verdana" w:hAnsi="Verdana"/>
                <w:sz w:val="18"/>
                <w:szCs w:val="18"/>
              </w:rPr>
            </w:pPr>
            <w:r>
              <w:rPr>
                <w:rFonts w:ascii="Verdana" w:hAnsi="Verdana"/>
                <w:sz w:val="18"/>
                <w:szCs w:val="18"/>
              </w:rPr>
              <w:t xml:space="preserve">Mandatory </w:t>
            </w:r>
            <w:r w:rsidR="00C70C5C" w:rsidRPr="0084446A">
              <w:rPr>
                <w:rFonts w:ascii="Verdana" w:hAnsi="Verdana"/>
                <w:sz w:val="18"/>
                <w:szCs w:val="18"/>
              </w:rPr>
              <w:t>Slides</w:t>
            </w:r>
          </w:p>
        </w:tc>
        <w:tc>
          <w:tcPr>
            <w:tcW w:w="7485" w:type="dxa"/>
            <w:gridSpan w:val="2"/>
            <w:vAlign w:val="center"/>
          </w:tcPr>
          <w:p w14:paraId="09B58FC0" w14:textId="6DD84D2C" w:rsidR="00637AFB" w:rsidRPr="0084446A" w:rsidRDefault="00645E05" w:rsidP="00D669F8">
            <w:pPr>
              <w:spacing w:line="360" w:lineRule="auto"/>
              <w:jc w:val="both"/>
              <w:rPr>
                <w:rFonts w:ascii="Verdana" w:hAnsi="Verdana"/>
                <w:sz w:val="18"/>
                <w:szCs w:val="18"/>
              </w:rPr>
            </w:pPr>
            <w:r>
              <w:rPr>
                <w:rFonts w:ascii="Verdana" w:hAnsi="Verdana"/>
                <w:sz w:val="18"/>
                <w:szCs w:val="18"/>
              </w:rPr>
              <w:t xml:space="preserve">These slides discuss </w:t>
            </w:r>
            <w:r w:rsidR="00D429DB">
              <w:rPr>
                <w:rFonts w:ascii="Verdana" w:hAnsi="Verdana"/>
                <w:sz w:val="18"/>
                <w:szCs w:val="18"/>
              </w:rPr>
              <w:t>how to cooperate with domestic service providers. It explains that while procedural powers established in accordance with Articles 16-21 can be exercised in relation to domestic service providers, most of these measures are coercive. Production orders tend to be less coercive and would fall within the ambit of public-private cooperation. These slides reiterate the scope of Article 18 of the Budapest Convention. This part ends with a poll question.</w:t>
            </w:r>
          </w:p>
        </w:tc>
      </w:tr>
      <w:tr w:rsidR="00F1574D" w:rsidRPr="00D82C18" w14:paraId="4F010995" w14:textId="77777777" w:rsidTr="00F1574D">
        <w:trPr>
          <w:trHeight w:val="791"/>
        </w:trPr>
        <w:tc>
          <w:tcPr>
            <w:tcW w:w="1525" w:type="dxa"/>
            <w:vAlign w:val="center"/>
          </w:tcPr>
          <w:p w14:paraId="0EC3C0F5" w14:textId="13704736" w:rsidR="00C70C5C" w:rsidRDefault="00D429DB" w:rsidP="00F1574D">
            <w:pPr>
              <w:spacing w:before="120" w:after="120" w:line="280" w:lineRule="exact"/>
              <w:jc w:val="center"/>
              <w:rPr>
                <w:rFonts w:ascii="Verdana" w:hAnsi="Verdana"/>
                <w:sz w:val="18"/>
                <w:szCs w:val="18"/>
              </w:rPr>
            </w:pPr>
            <w:r>
              <w:rPr>
                <w:rFonts w:ascii="Verdana" w:hAnsi="Verdana"/>
                <w:sz w:val="18"/>
                <w:szCs w:val="18"/>
              </w:rPr>
              <w:t xml:space="preserve">23 </w:t>
            </w:r>
            <w:r w:rsidR="00CE67EA">
              <w:rPr>
                <w:rFonts w:ascii="Verdana" w:hAnsi="Verdana"/>
                <w:sz w:val="18"/>
                <w:szCs w:val="18"/>
              </w:rPr>
              <w:t xml:space="preserve">to </w:t>
            </w:r>
            <w:r>
              <w:rPr>
                <w:rFonts w:ascii="Verdana" w:hAnsi="Verdana"/>
                <w:sz w:val="18"/>
                <w:szCs w:val="18"/>
              </w:rPr>
              <w:t>49</w:t>
            </w:r>
          </w:p>
          <w:p w14:paraId="48504862" w14:textId="0BA48137" w:rsidR="00334BD0" w:rsidRDefault="00334BD0"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4AF5B3D7" w14:textId="6A951695" w:rsidR="0095051C" w:rsidRPr="00C70C5C" w:rsidRDefault="00D429DB" w:rsidP="006F06F9">
            <w:pPr>
              <w:pStyle w:val="Subtitle"/>
              <w:spacing w:line="360" w:lineRule="auto"/>
              <w:rPr>
                <w:rFonts w:ascii="Verdana" w:eastAsia="Times New Roman" w:hAnsi="Verdana"/>
                <w:iCs w:val="0"/>
              </w:rPr>
            </w:pPr>
            <w:r>
              <w:rPr>
                <w:rFonts w:ascii="Verdana" w:hAnsi="Verdana"/>
                <w:szCs w:val="18"/>
              </w:rPr>
              <w:t xml:space="preserve">These slides discuss how to cooperate with foreign service providers. They cover different ways in which data can be sought from foreign service providers, including through MLATs, emergency disclosure requests, production orders, trans-border access with consent and through voluntary cooperation. These slides show practical examples of forms and portals that different global service providers make available to request different types of cooperation. This part ends with a poll question. </w:t>
            </w:r>
          </w:p>
        </w:tc>
      </w:tr>
      <w:tr w:rsidR="00CE67EA" w:rsidRPr="00D82C18" w14:paraId="36E3D895" w14:textId="77777777" w:rsidTr="00F1574D">
        <w:trPr>
          <w:trHeight w:val="791"/>
        </w:trPr>
        <w:tc>
          <w:tcPr>
            <w:tcW w:w="1525" w:type="dxa"/>
            <w:vAlign w:val="center"/>
          </w:tcPr>
          <w:p w14:paraId="14511361" w14:textId="46E74450" w:rsidR="00CA7AE4" w:rsidRDefault="00D429DB" w:rsidP="00CA7AE4">
            <w:pPr>
              <w:spacing w:before="120" w:after="120" w:line="280" w:lineRule="exact"/>
              <w:jc w:val="center"/>
              <w:rPr>
                <w:rFonts w:ascii="Verdana" w:hAnsi="Verdana"/>
                <w:sz w:val="18"/>
                <w:szCs w:val="18"/>
              </w:rPr>
            </w:pPr>
            <w:r>
              <w:rPr>
                <w:rFonts w:ascii="Verdana" w:hAnsi="Verdana"/>
                <w:sz w:val="18"/>
                <w:szCs w:val="18"/>
              </w:rPr>
              <w:t xml:space="preserve">51 </w:t>
            </w:r>
            <w:r w:rsidR="00CA7AE4">
              <w:rPr>
                <w:rFonts w:ascii="Verdana" w:hAnsi="Verdana"/>
                <w:sz w:val="18"/>
                <w:szCs w:val="18"/>
              </w:rPr>
              <w:t xml:space="preserve">to </w:t>
            </w:r>
            <w:r>
              <w:rPr>
                <w:rFonts w:ascii="Verdana" w:hAnsi="Verdana"/>
                <w:sz w:val="18"/>
                <w:szCs w:val="18"/>
              </w:rPr>
              <w:t>53</w:t>
            </w:r>
          </w:p>
          <w:p w14:paraId="3303FBB7" w14:textId="05611B53" w:rsidR="00CE67EA" w:rsidRDefault="00CA7AE4" w:rsidP="00CA7AE4">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ADC7791" w14:textId="11D4E37B" w:rsidR="00CE67EA" w:rsidRPr="00975170" w:rsidRDefault="00D429DB" w:rsidP="0045630D">
            <w:pPr>
              <w:spacing w:line="360" w:lineRule="auto"/>
              <w:jc w:val="both"/>
              <w:rPr>
                <w:rFonts w:ascii="Verdana" w:hAnsi="Verdana"/>
                <w:sz w:val="18"/>
                <w:szCs w:val="18"/>
              </w:rPr>
            </w:pPr>
            <w:r>
              <w:rPr>
                <w:rFonts w:ascii="Verdana" w:hAnsi="Verdana"/>
                <w:sz w:val="18"/>
                <w:szCs w:val="18"/>
              </w:rPr>
              <w:t xml:space="preserve">These slides deal with cooperation with foreign service providers to have content removed. While this is outside the scope of the Budapest Convention, it is increasingly important to many competent authorities to </w:t>
            </w:r>
            <w:r w:rsidR="00697151">
              <w:rPr>
                <w:rFonts w:ascii="Verdana" w:hAnsi="Verdana"/>
                <w:sz w:val="18"/>
                <w:szCs w:val="18"/>
              </w:rPr>
              <w:t>understand</w:t>
            </w:r>
            <w:r>
              <w:rPr>
                <w:rFonts w:ascii="Verdana" w:hAnsi="Verdana"/>
                <w:sz w:val="18"/>
                <w:szCs w:val="18"/>
              </w:rPr>
              <w:t xml:space="preserve"> how to seek cooperation of foreign service providers to remove harmful content</w:t>
            </w:r>
            <w:r w:rsidR="00697151">
              <w:rPr>
                <w:rFonts w:ascii="Verdana" w:hAnsi="Verdana"/>
                <w:sz w:val="18"/>
                <w:szCs w:val="18"/>
              </w:rPr>
              <w:t xml:space="preserve"> from their platforms. </w:t>
            </w:r>
          </w:p>
        </w:tc>
      </w:tr>
      <w:tr w:rsidR="00975170" w:rsidRPr="00D82C18" w14:paraId="35736C4C" w14:textId="77777777" w:rsidTr="00F1574D">
        <w:trPr>
          <w:trHeight w:val="791"/>
        </w:trPr>
        <w:tc>
          <w:tcPr>
            <w:tcW w:w="1525" w:type="dxa"/>
            <w:vAlign w:val="center"/>
          </w:tcPr>
          <w:p w14:paraId="2831EDCE" w14:textId="3BD9E172" w:rsidR="00975170" w:rsidRDefault="00D429DB" w:rsidP="00CA7AE4">
            <w:pPr>
              <w:spacing w:before="120" w:after="120" w:line="280" w:lineRule="exact"/>
              <w:jc w:val="center"/>
              <w:rPr>
                <w:rFonts w:ascii="Verdana" w:hAnsi="Verdana"/>
                <w:sz w:val="18"/>
                <w:szCs w:val="18"/>
              </w:rPr>
            </w:pPr>
            <w:r>
              <w:rPr>
                <w:rFonts w:ascii="Verdana" w:hAnsi="Verdana"/>
                <w:sz w:val="18"/>
                <w:szCs w:val="18"/>
              </w:rPr>
              <w:t xml:space="preserve">54 </w:t>
            </w:r>
            <w:r w:rsidR="00975170">
              <w:rPr>
                <w:rFonts w:ascii="Verdana" w:hAnsi="Verdana"/>
                <w:sz w:val="18"/>
                <w:szCs w:val="18"/>
              </w:rPr>
              <w:t xml:space="preserve">to </w:t>
            </w:r>
            <w:r>
              <w:rPr>
                <w:rFonts w:ascii="Verdana" w:hAnsi="Verdana"/>
                <w:sz w:val="18"/>
                <w:szCs w:val="18"/>
              </w:rPr>
              <w:t>59</w:t>
            </w:r>
          </w:p>
        </w:tc>
        <w:tc>
          <w:tcPr>
            <w:tcW w:w="7485" w:type="dxa"/>
            <w:gridSpan w:val="2"/>
            <w:vAlign w:val="center"/>
          </w:tcPr>
          <w:p w14:paraId="1E7CD13A" w14:textId="7647F904" w:rsidR="006E00B9" w:rsidRPr="00975170" w:rsidRDefault="006E00B9" w:rsidP="006E00B9">
            <w:pPr>
              <w:spacing w:line="360" w:lineRule="auto"/>
              <w:jc w:val="both"/>
              <w:rPr>
                <w:rFonts w:ascii="Verdana" w:hAnsi="Verdana"/>
                <w:sz w:val="18"/>
                <w:szCs w:val="18"/>
              </w:rPr>
            </w:pPr>
            <w:r>
              <w:rPr>
                <w:rFonts w:ascii="Verdana" w:hAnsi="Verdana"/>
                <w:sz w:val="18"/>
                <w:szCs w:val="18"/>
              </w:rPr>
              <w:t xml:space="preserve">These slides have a case study exercise that will allow the trainer to test to what extent the participants can apply the information they have acquired during this and earlier modules. The trainer should read out the facts and the questions, and then give the participants a chance to give answers. The trainer can consult the slide notes for more information on the kind of answers to expect. </w:t>
            </w:r>
          </w:p>
        </w:tc>
      </w:tr>
      <w:tr w:rsidR="00CA7AE4" w:rsidRPr="00D82C18" w14:paraId="22C5AB80" w14:textId="77777777" w:rsidTr="00F1574D">
        <w:trPr>
          <w:trHeight w:val="791"/>
        </w:trPr>
        <w:tc>
          <w:tcPr>
            <w:tcW w:w="1525" w:type="dxa"/>
            <w:vAlign w:val="center"/>
          </w:tcPr>
          <w:p w14:paraId="0D063FA8" w14:textId="33500E47" w:rsidR="00CA7AE4" w:rsidRDefault="00D429DB" w:rsidP="00CA7AE4">
            <w:pPr>
              <w:spacing w:before="120" w:after="120" w:line="280" w:lineRule="exact"/>
              <w:jc w:val="center"/>
              <w:rPr>
                <w:rFonts w:ascii="Verdana" w:hAnsi="Verdana"/>
                <w:sz w:val="18"/>
                <w:szCs w:val="18"/>
              </w:rPr>
            </w:pPr>
            <w:r>
              <w:rPr>
                <w:rFonts w:ascii="Verdana" w:hAnsi="Verdana"/>
                <w:sz w:val="18"/>
                <w:szCs w:val="18"/>
              </w:rPr>
              <w:t xml:space="preserve">60 </w:t>
            </w:r>
            <w:r w:rsidR="00CA7AE4">
              <w:rPr>
                <w:rFonts w:ascii="Verdana" w:hAnsi="Verdana"/>
                <w:sz w:val="18"/>
                <w:szCs w:val="18"/>
              </w:rPr>
              <w:t xml:space="preserve">to </w:t>
            </w:r>
            <w:r>
              <w:rPr>
                <w:rFonts w:ascii="Verdana" w:hAnsi="Verdana"/>
                <w:sz w:val="18"/>
                <w:szCs w:val="18"/>
              </w:rPr>
              <w:t>62</w:t>
            </w:r>
          </w:p>
          <w:p w14:paraId="209E53F0" w14:textId="2D060928" w:rsidR="00CA7AE4" w:rsidRDefault="00EC7406" w:rsidP="00CA7AE4">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7506D927" w14:textId="5B9A10C8" w:rsidR="00CA7AE4" w:rsidRDefault="00EC7406" w:rsidP="0045630D">
            <w:pPr>
              <w:spacing w:line="360" w:lineRule="auto"/>
              <w:jc w:val="both"/>
              <w:rPr>
                <w:rFonts w:ascii="Verdana" w:hAnsi="Verdana"/>
                <w:sz w:val="18"/>
                <w:szCs w:val="18"/>
              </w:rPr>
            </w:pPr>
            <w:r w:rsidRPr="00334BD0">
              <w:rPr>
                <w:rFonts w:ascii="Verdana" w:hAnsi="Verdana"/>
                <w:sz w:val="18"/>
                <w:szCs w:val="18"/>
              </w:rPr>
              <w:t>The trainer should recap the session objectives with the delegates and give them the opportunity to ask any questions relating to the materials covered in this module.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3F20891A" w:rsidR="00CB3026" w:rsidRPr="00CB3026" w:rsidRDefault="009B4375" w:rsidP="00B3608C">
            <w:pPr>
              <w:spacing w:before="120" w:after="120" w:line="280" w:lineRule="exact"/>
              <w:rPr>
                <w:rFonts w:ascii="Verdana" w:hAnsi="Verdana"/>
                <w:sz w:val="18"/>
                <w:szCs w:val="18"/>
              </w:rPr>
            </w:pPr>
            <w:r>
              <w:rPr>
                <w:rFonts w:ascii="Verdana" w:hAnsi="Verdana"/>
                <w:color w:val="000000" w:themeColor="text1"/>
                <w:sz w:val="18"/>
                <w:szCs w:val="18"/>
              </w:rPr>
              <w:t>There are no practical exercises associated with this lesson.</w:t>
            </w:r>
            <w:r w:rsidR="00975170">
              <w:rPr>
                <w:rFonts w:ascii="Verdana" w:hAnsi="Verdana"/>
                <w:color w:val="000000" w:themeColor="text1"/>
                <w:sz w:val="18"/>
                <w:szCs w:val="18"/>
              </w:rPr>
              <w:t xml:space="preserve"> </w:t>
            </w:r>
            <w:r w:rsidR="00411722">
              <w:rPr>
                <w:rFonts w:ascii="Verdana" w:hAnsi="Verdana"/>
                <w:color w:val="000000" w:themeColor="text1"/>
                <w:sz w:val="18"/>
                <w:szCs w:val="18"/>
              </w:rPr>
              <w:t xml:space="preserve">The trainer will present a brief case study and ask the participants to answer the questions verbally. </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062034AA" w:rsidR="00CB3026" w:rsidRPr="00CB3026" w:rsidRDefault="005D2065"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860D4"/>
    <w:multiLevelType w:val="hybridMultilevel"/>
    <w:tmpl w:val="F022C83E"/>
    <w:lvl w:ilvl="0" w:tplc="689C86DE">
      <w:start w:val="1"/>
      <w:numFmt w:val="bullet"/>
      <w:lvlText w:val=""/>
      <w:lvlJc w:val="left"/>
      <w:pPr>
        <w:tabs>
          <w:tab w:val="num" w:pos="720"/>
        </w:tabs>
        <w:ind w:left="720" w:hanging="360"/>
      </w:pPr>
      <w:rPr>
        <w:rFonts w:ascii="Wingdings" w:hAnsi="Wingdings" w:hint="default"/>
      </w:rPr>
    </w:lvl>
    <w:lvl w:ilvl="1" w:tplc="8D30D3F8" w:tentative="1">
      <w:start w:val="1"/>
      <w:numFmt w:val="bullet"/>
      <w:lvlText w:val=""/>
      <w:lvlJc w:val="left"/>
      <w:pPr>
        <w:tabs>
          <w:tab w:val="num" w:pos="1440"/>
        </w:tabs>
        <w:ind w:left="1440" w:hanging="360"/>
      </w:pPr>
      <w:rPr>
        <w:rFonts w:ascii="Wingdings" w:hAnsi="Wingdings" w:hint="default"/>
      </w:rPr>
    </w:lvl>
    <w:lvl w:ilvl="2" w:tplc="6BB20E78" w:tentative="1">
      <w:start w:val="1"/>
      <w:numFmt w:val="bullet"/>
      <w:lvlText w:val=""/>
      <w:lvlJc w:val="left"/>
      <w:pPr>
        <w:tabs>
          <w:tab w:val="num" w:pos="2160"/>
        </w:tabs>
        <w:ind w:left="2160" w:hanging="360"/>
      </w:pPr>
      <w:rPr>
        <w:rFonts w:ascii="Wingdings" w:hAnsi="Wingdings" w:hint="default"/>
      </w:rPr>
    </w:lvl>
    <w:lvl w:ilvl="3" w:tplc="7C22B948" w:tentative="1">
      <w:start w:val="1"/>
      <w:numFmt w:val="bullet"/>
      <w:lvlText w:val=""/>
      <w:lvlJc w:val="left"/>
      <w:pPr>
        <w:tabs>
          <w:tab w:val="num" w:pos="2880"/>
        </w:tabs>
        <w:ind w:left="2880" w:hanging="360"/>
      </w:pPr>
      <w:rPr>
        <w:rFonts w:ascii="Wingdings" w:hAnsi="Wingdings" w:hint="default"/>
      </w:rPr>
    </w:lvl>
    <w:lvl w:ilvl="4" w:tplc="9CBED066" w:tentative="1">
      <w:start w:val="1"/>
      <w:numFmt w:val="bullet"/>
      <w:lvlText w:val=""/>
      <w:lvlJc w:val="left"/>
      <w:pPr>
        <w:tabs>
          <w:tab w:val="num" w:pos="3600"/>
        </w:tabs>
        <w:ind w:left="3600" w:hanging="360"/>
      </w:pPr>
      <w:rPr>
        <w:rFonts w:ascii="Wingdings" w:hAnsi="Wingdings" w:hint="default"/>
      </w:rPr>
    </w:lvl>
    <w:lvl w:ilvl="5" w:tplc="575276DA" w:tentative="1">
      <w:start w:val="1"/>
      <w:numFmt w:val="bullet"/>
      <w:lvlText w:val=""/>
      <w:lvlJc w:val="left"/>
      <w:pPr>
        <w:tabs>
          <w:tab w:val="num" w:pos="4320"/>
        </w:tabs>
        <w:ind w:left="4320" w:hanging="360"/>
      </w:pPr>
      <w:rPr>
        <w:rFonts w:ascii="Wingdings" w:hAnsi="Wingdings" w:hint="default"/>
      </w:rPr>
    </w:lvl>
    <w:lvl w:ilvl="6" w:tplc="FAC623F4" w:tentative="1">
      <w:start w:val="1"/>
      <w:numFmt w:val="bullet"/>
      <w:lvlText w:val=""/>
      <w:lvlJc w:val="left"/>
      <w:pPr>
        <w:tabs>
          <w:tab w:val="num" w:pos="5040"/>
        </w:tabs>
        <w:ind w:left="5040" w:hanging="360"/>
      </w:pPr>
      <w:rPr>
        <w:rFonts w:ascii="Wingdings" w:hAnsi="Wingdings" w:hint="default"/>
      </w:rPr>
    </w:lvl>
    <w:lvl w:ilvl="7" w:tplc="D1903D32" w:tentative="1">
      <w:start w:val="1"/>
      <w:numFmt w:val="bullet"/>
      <w:lvlText w:val=""/>
      <w:lvlJc w:val="left"/>
      <w:pPr>
        <w:tabs>
          <w:tab w:val="num" w:pos="5760"/>
        </w:tabs>
        <w:ind w:left="5760" w:hanging="360"/>
      </w:pPr>
      <w:rPr>
        <w:rFonts w:ascii="Wingdings" w:hAnsi="Wingdings" w:hint="default"/>
      </w:rPr>
    </w:lvl>
    <w:lvl w:ilvl="8" w:tplc="22486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63F1"/>
    <w:multiLevelType w:val="hybridMultilevel"/>
    <w:tmpl w:val="B5AC0418"/>
    <w:lvl w:ilvl="0" w:tplc="8C82C4C0">
      <w:start w:val="1"/>
      <w:numFmt w:val="bullet"/>
      <w:lvlText w:val=""/>
      <w:lvlJc w:val="left"/>
      <w:pPr>
        <w:tabs>
          <w:tab w:val="num" w:pos="720"/>
        </w:tabs>
        <w:ind w:left="720" w:hanging="360"/>
      </w:pPr>
      <w:rPr>
        <w:rFonts w:ascii="Wingdings" w:hAnsi="Wingdings" w:hint="default"/>
      </w:rPr>
    </w:lvl>
    <w:lvl w:ilvl="1" w:tplc="6B8E980E" w:tentative="1">
      <w:start w:val="1"/>
      <w:numFmt w:val="bullet"/>
      <w:lvlText w:val=""/>
      <w:lvlJc w:val="left"/>
      <w:pPr>
        <w:tabs>
          <w:tab w:val="num" w:pos="1440"/>
        </w:tabs>
        <w:ind w:left="1440" w:hanging="360"/>
      </w:pPr>
      <w:rPr>
        <w:rFonts w:ascii="Wingdings" w:hAnsi="Wingdings" w:hint="default"/>
      </w:rPr>
    </w:lvl>
    <w:lvl w:ilvl="2" w:tplc="B4EA0AAE" w:tentative="1">
      <w:start w:val="1"/>
      <w:numFmt w:val="bullet"/>
      <w:lvlText w:val=""/>
      <w:lvlJc w:val="left"/>
      <w:pPr>
        <w:tabs>
          <w:tab w:val="num" w:pos="2160"/>
        </w:tabs>
        <w:ind w:left="2160" w:hanging="360"/>
      </w:pPr>
      <w:rPr>
        <w:rFonts w:ascii="Wingdings" w:hAnsi="Wingdings" w:hint="default"/>
      </w:rPr>
    </w:lvl>
    <w:lvl w:ilvl="3" w:tplc="05329310" w:tentative="1">
      <w:start w:val="1"/>
      <w:numFmt w:val="bullet"/>
      <w:lvlText w:val=""/>
      <w:lvlJc w:val="left"/>
      <w:pPr>
        <w:tabs>
          <w:tab w:val="num" w:pos="2880"/>
        </w:tabs>
        <w:ind w:left="2880" w:hanging="360"/>
      </w:pPr>
      <w:rPr>
        <w:rFonts w:ascii="Wingdings" w:hAnsi="Wingdings" w:hint="default"/>
      </w:rPr>
    </w:lvl>
    <w:lvl w:ilvl="4" w:tplc="4C2CABD6" w:tentative="1">
      <w:start w:val="1"/>
      <w:numFmt w:val="bullet"/>
      <w:lvlText w:val=""/>
      <w:lvlJc w:val="left"/>
      <w:pPr>
        <w:tabs>
          <w:tab w:val="num" w:pos="3600"/>
        </w:tabs>
        <w:ind w:left="3600" w:hanging="360"/>
      </w:pPr>
      <w:rPr>
        <w:rFonts w:ascii="Wingdings" w:hAnsi="Wingdings" w:hint="default"/>
      </w:rPr>
    </w:lvl>
    <w:lvl w:ilvl="5" w:tplc="C22C917C" w:tentative="1">
      <w:start w:val="1"/>
      <w:numFmt w:val="bullet"/>
      <w:lvlText w:val=""/>
      <w:lvlJc w:val="left"/>
      <w:pPr>
        <w:tabs>
          <w:tab w:val="num" w:pos="4320"/>
        </w:tabs>
        <w:ind w:left="4320" w:hanging="360"/>
      </w:pPr>
      <w:rPr>
        <w:rFonts w:ascii="Wingdings" w:hAnsi="Wingdings" w:hint="default"/>
      </w:rPr>
    </w:lvl>
    <w:lvl w:ilvl="6" w:tplc="A45E2E46" w:tentative="1">
      <w:start w:val="1"/>
      <w:numFmt w:val="bullet"/>
      <w:lvlText w:val=""/>
      <w:lvlJc w:val="left"/>
      <w:pPr>
        <w:tabs>
          <w:tab w:val="num" w:pos="5040"/>
        </w:tabs>
        <w:ind w:left="5040" w:hanging="360"/>
      </w:pPr>
      <w:rPr>
        <w:rFonts w:ascii="Wingdings" w:hAnsi="Wingdings" w:hint="default"/>
      </w:rPr>
    </w:lvl>
    <w:lvl w:ilvl="7" w:tplc="B442E128" w:tentative="1">
      <w:start w:val="1"/>
      <w:numFmt w:val="bullet"/>
      <w:lvlText w:val=""/>
      <w:lvlJc w:val="left"/>
      <w:pPr>
        <w:tabs>
          <w:tab w:val="num" w:pos="5760"/>
        </w:tabs>
        <w:ind w:left="5760" w:hanging="360"/>
      </w:pPr>
      <w:rPr>
        <w:rFonts w:ascii="Wingdings" w:hAnsi="Wingdings" w:hint="default"/>
      </w:rPr>
    </w:lvl>
    <w:lvl w:ilvl="8" w:tplc="50AA0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361925C5"/>
    <w:multiLevelType w:val="hybridMultilevel"/>
    <w:tmpl w:val="4F8888E0"/>
    <w:lvl w:ilvl="0" w:tplc="9E0CC8BA">
      <w:start w:val="1"/>
      <w:numFmt w:val="bullet"/>
      <w:lvlText w:val=""/>
      <w:lvlJc w:val="left"/>
      <w:pPr>
        <w:tabs>
          <w:tab w:val="num" w:pos="720"/>
        </w:tabs>
        <w:ind w:left="720" w:hanging="360"/>
      </w:pPr>
      <w:rPr>
        <w:rFonts w:ascii="Wingdings" w:hAnsi="Wingdings" w:hint="default"/>
      </w:rPr>
    </w:lvl>
    <w:lvl w:ilvl="1" w:tplc="FBDA5CFE" w:tentative="1">
      <w:start w:val="1"/>
      <w:numFmt w:val="bullet"/>
      <w:lvlText w:val=""/>
      <w:lvlJc w:val="left"/>
      <w:pPr>
        <w:tabs>
          <w:tab w:val="num" w:pos="1440"/>
        </w:tabs>
        <w:ind w:left="1440" w:hanging="360"/>
      </w:pPr>
      <w:rPr>
        <w:rFonts w:ascii="Wingdings" w:hAnsi="Wingdings" w:hint="default"/>
      </w:rPr>
    </w:lvl>
    <w:lvl w:ilvl="2" w:tplc="F0F45F06" w:tentative="1">
      <w:start w:val="1"/>
      <w:numFmt w:val="bullet"/>
      <w:lvlText w:val=""/>
      <w:lvlJc w:val="left"/>
      <w:pPr>
        <w:tabs>
          <w:tab w:val="num" w:pos="2160"/>
        </w:tabs>
        <w:ind w:left="2160" w:hanging="360"/>
      </w:pPr>
      <w:rPr>
        <w:rFonts w:ascii="Wingdings" w:hAnsi="Wingdings" w:hint="default"/>
      </w:rPr>
    </w:lvl>
    <w:lvl w:ilvl="3" w:tplc="DC3A224A" w:tentative="1">
      <w:start w:val="1"/>
      <w:numFmt w:val="bullet"/>
      <w:lvlText w:val=""/>
      <w:lvlJc w:val="left"/>
      <w:pPr>
        <w:tabs>
          <w:tab w:val="num" w:pos="2880"/>
        </w:tabs>
        <w:ind w:left="2880" w:hanging="360"/>
      </w:pPr>
      <w:rPr>
        <w:rFonts w:ascii="Wingdings" w:hAnsi="Wingdings" w:hint="default"/>
      </w:rPr>
    </w:lvl>
    <w:lvl w:ilvl="4" w:tplc="E7B22450" w:tentative="1">
      <w:start w:val="1"/>
      <w:numFmt w:val="bullet"/>
      <w:lvlText w:val=""/>
      <w:lvlJc w:val="left"/>
      <w:pPr>
        <w:tabs>
          <w:tab w:val="num" w:pos="3600"/>
        </w:tabs>
        <w:ind w:left="3600" w:hanging="360"/>
      </w:pPr>
      <w:rPr>
        <w:rFonts w:ascii="Wingdings" w:hAnsi="Wingdings" w:hint="default"/>
      </w:rPr>
    </w:lvl>
    <w:lvl w:ilvl="5" w:tplc="5A1692F6" w:tentative="1">
      <w:start w:val="1"/>
      <w:numFmt w:val="bullet"/>
      <w:lvlText w:val=""/>
      <w:lvlJc w:val="left"/>
      <w:pPr>
        <w:tabs>
          <w:tab w:val="num" w:pos="4320"/>
        </w:tabs>
        <w:ind w:left="4320" w:hanging="360"/>
      </w:pPr>
      <w:rPr>
        <w:rFonts w:ascii="Wingdings" w:hAnsi="Wingdings" w:hint="default"/>
      </w:rPr>
    </w:lvl>
    <w:lvl w:ilvl="6" w:tplc="4CE2F604" w:tentative="1">
      <w:start w:val="1"/>
      <w:numFmt w:val="bullet"/>
      <w:lvlText w:val=""/>
      <w:lvlJc w:val="left"/>
      <w:pPr>
        <w:tabs>
          <w:tab w:val="num" w:pos="5040"/>
        </w:tabs>
        <w:ind w:left="5040" w:hanging="360"/>
      </w:pPr>
      <w:rPr>
        <w:rFonts w:ascii="Wingdings" w:hAnsi="Wingdings" w:hint="default"/>
      </w:rPr>
    </w:lvl>
    <w:lvl w:ilvl="7" w:tplc="8BAA721C" w:tentative="1">
      <w:start w:val="1"/>
      <w:numFmt w:val="bullet"/>
      <w:lvlText w:val=""/>
      <w:lvlJc w:val="left"/>
      <w:pPr>
        <w:tabs>
          <w:tab w:val="num" w:pos="5760"/>
        </w:tabs>
        <w:ind w:left="5760" w:hanging="360"/>
      </w:pPr>
      <w:rPr>
        <w:rFonts w:ascii="Wingdings" w:hAnsi="Wingdings" w:hint="default"/>
      </w:rPr>
    </w:lvl>
    <w:lvl w:ilvl="8" w:tplc="0CA2FA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2058DF"/>
    <w:multiLevelType w:val="hybridMultilevel"/>
    <w:tmpl w:val="FE9681DE"/>
    <w:lvl w:ilvl="0" w:tplc="0A8AC04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B2B2F85"/>
    <w:multiLevelType w:val="hybridMultilevel"/>
    <w:tmpl w:val="5E14A50A"/>
    <w:lvl w:ilvl="0" w:tplc="02A25FF8">
      <w:start w:val="1"/>
      <w:numFmt w:val="bullet"/>
      <w:lvlText w:val=""/>
      <w:lvlJc w:val="left"/>
      <w:pPr>
        <w:tabs>
          <w:tab w:val="num" w:pos="720"/>
        </w:tabs>
        <w:ind w:left="720" w:hanging="360"/>
      </w:pPr>
      <w:rPr>
        <w:rFonts w:ascii="Wingdings" w:hAnsi="Wingdings" w:hint="default"/>
      </w:rPr>
    </w:lvl>
    <w:lvl w:ilvl="1" w:tplc="344CD8D8" w:tentative="1">
      <w:start w:val="1"/>
      <w:numFmt w:val="bullet"/>
      <w:lvlText w:val=""/>
      <w:lvlJc w:val="left"/>
      <w:pPr>
        <w:tabs>
          <w:tab w:val="num" w:pos="1440"/>
        </w:tabs>
        <w:ind w:left="1440" w:hanging="360"/>
      </w:pPr>
      <w:rPr>
        <w:rFonts w:ascii="Wingdings" w:hAnsi="Wingdings" w:hint="default"/>
      </w:rPr>
    </w:lvl>
    <w:lvl w:ilvl="2" w:tplc="5D24B114" w:tentative="1">
      <w:start w:val="1"/>
      <w:numFmt w:val="bullet"/>
      <w:lvlText w:val=""/>
      <w:lvlJc w:val="left"/>
      <w:pPr>
        <w:tabs>
          <w:tab w:val="num" w:pos="2160"/>
        </w:tabs>
        <w:ind w:left="2160" w:hanging="360"/>
      </w:pPr>
      <w:rPr>
        <w:rFonts w:ascii="Wingdings" w:hAnsi="Wingdings" w:hint="default"/>
      </w:rPr>
    </w:lvl>
    <w:lvl w:ilvl="3" w:tplc="F5E871A8" w:tentative="1">
      <w:start w:val="1"/>
      <w:numFmt w:val="bullet"/>
      <w:lvlText w:val=""/>
      <w:lvlJc w:val="left"/>
      <w:pPr>
        <w:tabs>
          <w:tab w:val="num" w:pos="2880"/>
        </w:tabs>
        <w:ind w:left="2880" w:hanging="360"/>
      </w:pPr>
      <w:rPr>
        <w:rFonts w:ascii="Wingdings" w:hAnsi="Wingdings" w:hint="default"/>
      </w:rPr>
    </w:lvl>
    <w:lvl w:ilvl="4" w:tplc="D658A812" w:tentative="1">
      <w:start w:val="1"/>
      <w:numFmt w:val="bullet"/>
      <w:lvlText w:val=""/>
      <w:lvlJc w:val="left"/>
      <w:pPr>
        <w:tabs>
          <w:tab w:val="num" w:pos="3600"/>
        </w:tabs>
        <w:ind w:left="3600" w:hanging="360"/>
      </w:pPr>
      <w:rPr>
        <w:rFonts w:ascii="Wingdings" w:hAnsi="Wingdings" w:hint="default"/>
      </w:rPr>
    </w:lvl>
    <w:lvl w:ilvl="5" w:tplc="4C720E52" w:tentative="1">
      <w:start w:val="1"/>
      <w:numFmt w:val="bullet"/>
      <w:lvlText w:val=""/>
      <w:lvlJc w:val="left"/>
      <w:pPr>
        <w:tabs>
          <w:tab w:val="num" w:pos="4320"/>
        </w:tabs>
        <w:ind w:left="4320" w:hanging="360"/>
      </w:pPr>
      <w:rPr>
        <w:rFonts w:ascii="Wingdings" w:hAnsi="Wingdings" w:hint="default"/>
      </w:rPr>
    </w:lvl>
    <w:lvl w:ilvl="6" w:tplc="9B2C97D8" w:tentative="1">
      <w:start w:val="1"/>
      <w:numFmt w:val="bullet"/>
      <w:lvlText w:val=""/>
      <w:lvlJc w:val="left"/>
      <w:pPr>
        <w:tabs>
          <w:tab w:val="num" w:pos="5040"/>
        </w:tabs>
        <w:ind w:left="5040" w:hanging="360"/>
      </w:pPr>
      <w:rPr>
        <w:rFonts w:ascii="Wingdings" w:hAnsi="Wingdings" w:hint="default"/>
      </w:rPr>
    </w:lvl>
    <w:lvl w:ilvl="7" w:tplc="D57A5C8A" w:tentative="1">
      <w:start w:val="1"/>
      <w:numFmt w:val="bullet"/>
      <w:lvlText w:val=""/>
      <w:lvlJc w:val="left"/>
      <w:pPr>
        <w:tabs>
          <w:tab w:val="num" w:pos="5760"/>
        </w:tabs>
        <w:ind w:left="5760" w:hanging="360"/>
      </w:pPr>
      <w:rPr>
        <w:rFonts w:ascii="Wingdings" w:hAnsi="Wingdings" w:hint="default"/>
      </w:rPr>
    </w:lvl>
    <w:lvl w:ilvl="8" w:tplc="967456E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5787F"/>
    <w:multiLevelType w:val="hybridMultilevel"/>
    <w:tmpl w:val="CF70B332"/>
    <w:lvl w:ilvl="0" w:tplc="FCE2267A">
      <w:start w:val="1"/>
      <w:numFmt w:val="bullet"/>
      <w:lvlText w:val=""/>
      <w:lvlJc w:val="left"/>
      <w:pPr>
        <w:tabs>
          <w:tab w:val="num" w:pos="720"/>
        </w:tabs>
        <w:ind w:left="720" w:hanging="360"/>
      </w:pPr>
      <w:rPr>
        <w:rFonts w:ascii="Wingdings" w:hAnsi="Wingdings" w:hint="default"/>
      </w:rPr>
    </w:lvl>
    <w:lvl w:ilvl="1" w:tplc="791EDDDE" w:tentative="1">
      <w:start w:val="1"/>
      <w:numFmt w:val="bullet"/>
      <w:lvlText w:val=""/>
      <w:lvlJc w:val="left"/>
      <w:pPr>
        <w:tabs>
          <w:tab w:val="num" w:pos="1440"/>
        </w:tabs>
        <w:ind w:left="1440" w:hanging="360"/>
      </w:pPr>
      <w:rPr>
        <w:rFonts w:ascii="Wingdings" w:hAnsi="Wingdings" w:hint="default"/>
      </w:rPr>
    </w:lvl>
    <w:lvl w:ilvl="2" w:tplc="25B4BF48" w:tentative="1">
      <w:start w:val="1"/>
      <w:numFmt w:val="bullet"/>
      <w:lvlText w:val=""/>
      <w:lvlJc w:val="left"/>
      <w:pPr>
        <w:tabs>
          <w:tab w:val="num" w:pos="2160"/>
        </w:tabs>
        <w:ind w:left="2160" w:hanging="360"/>
      </w:pPr>
      <w:rPr>
        <w:rFonts w:ascii="Wingdings" w:hAnsi="Wingdings" w:hint="default"/>
      </w:rPr>
    </w:lvl>
    <w:lvl w:ilvl="3" w:tplc="CDFA9DF2" w:tentative="1">
      <w:start w:val="1"/>
      <w:numFmt w:val="bullet"/>
      <w:lvlText w:val=""/>
      <w:lvlJc w:val="left"/>
      <w:pPr>
        <w:tabs>
          <w:tab w:val="num" w:pos="2880"/>
        </w:tabs>
        <w:ind w:left="2880" w:hanging="360"/>
      </w:pPr>
      <w:rPr>
        <w:rFonts w:ascii="Wingdings" w:hAnsi="Wingdings" w:hint="default"/>
      </w:rPr>
    </w:lvl>
    <w:lvl w:ilvl="4" w:tplc="CB4260FC" w:tentative="1">
      <w:start w:val="1"/>
      <w:numFmt w:val="bullet"/>
      <w:lvlText w:val=""/>
      <w:lvlJc w:val="left"/>
      <w:pPr>
        <w:tabs>
          <w:tab w:val="num" w:pos="3600"/>
        </w:tabs>
        <w:ind w:left="3600" w:hanging="360"/>
      </w:pPr>
      <w:rPr>
        <w:rFonts w:ascii="Wingdings" w:hAnsi="Wingdings" w:hint="default"/>
      </w:rPr>
    </w:lvl>
    <w:lvl w:ilvl="5" w:tplc="320409B4" w:tentative="1">
      <w:start w:val="1"/>
      <w:numFmt w:val="bullet"/>
      <w:lvlText w:val=""/>
      <w:lvlJc w:val="left"/>
      <w:pPr>
        <w:tabs>
          <w:tab w:val="num" w:pos="4320"/>
        </w:tabs>
        <w:ind w:left="4320" w:hanging="360"/>
      </w:pPr>
      <w:rPr>
        <w:rFonts w:ascii="Wingdings" w:hAnsi="Wingdings" w:hint="default"/>
      </w:rPr>
    </w:lvl>
    <w:lvl w:ilvl="6" w:tplc="7F58FB18" w:tentative="1">
      <w:start w:val="1"/>
      <w:numFmt w:val="bullet"/>
      <w:lvlText w:val=""/>
      <w:lvlJc w:val="left"/>
      <w:pPr>
        <w:tabs>
          <w:tab w:val="num" w:pos="5040"/>
        </w:tabs>
        <w:ind w:left="5040" w:hanging="360"/>
      </w:pPr>
      <w:rPr>
        <w:rFonts w:ascii="Wingdings" w:hAnsi="Wingdings" w:hint="default"/>
      </w:rPr>
    </w:lvl>
    <w:lvl w:ilvl="7" w:tplc="4BB6DE6C" w:tentative="1">
      <w:start w:val="1"/>
      <w:numFmt w:val="bullet"/>
      <w:lvlText w:val=""/>
      <w:lvlJc w:val="left"/>
      <w:pPr>
        <w:tabs>
          <w:tab w:val="num" w:pos="5760"/>
        </w:tabs>
        <w:ind w:left="5760" w:hanging="360"/>
      </w:pPr>
      <w:rPr>
        <w:rFonts w:ascii="Wingdings" w:hAnsi="Wingdings" w:hint="default"/>
      </w:rPr>
    </w:lvl>
    <w:lvl w:ilvl="8" w:tplc="935CC3F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0"/>
  </w:num>
  <w:num w:numId="4">
    <w:abstractNumId w:val="8"/>
  </w:num>
  <w:num w:numId="5">
    <w:abstractNumId w:val="9"/>
  </w:num>
  <w:num w:numId="6">
    <w:abstractNumId w:val="17"/>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5"/>
  </w:num>
  <w:num w:numId="10">
    <w:abstractNumId w:val="1"/>
  </w:num>
  <w:num w:numId="11">
    <w:abstractNumId w:val="14"/>
  </w:num>
  <w:num w:numId="12">
    <w:abstractNumId w:val="11"/>
  </w:num>
  <w:num w:numId="13">
    <w:abstractNumId w:val="4"/>
  </w:num>
  <w:num w:numId="14">
    <w:abstractNumId w:val="2"/>
  </w:num>
  <w:num w:numId="15">
    <w:abstractNumId w:val="3"/>
  </w:num>
  <w:num w:numId="16">
    <w:abstractNumId w:val="12"/>
  </w:num>
  <w:num w:numId="17">
    <w:abstractNumId w:val="18"/>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51376"/>
    <w:rsid w:val="000C40EE"/>
    <w:rsid w:val="000D0409"/>
    <w:rsid w:val="000F04E4"/>
    <w:rsid w:val="000F7896"/>
    <w:rsid w:val="001D603D"/>
    <w:rsid w:val="001E7389"/>
    <w:rsid w:val="00271010"/>
    <w:rsid w:val="002738BB"/>
    <w:rsid w:val="002D52FC"/>
    <w:rsid w:val="002E3ECE"/>
    <w:rsid w:val="002F3B54"/>
    <w:rsid w:val="00314D32"/>
    <w:rsid w:val="00334BD0"/>
    <w:rsid w:val="0034224C"/>
    <w:rsid w:val="00342639"/>
    <w:rsid w:val="003453F7"/>
    <w:rsid w:val="00354496"/>
    <w:rsid w:val="003630ED"/>
    <w:rsid w:val="003A435F"/>
    <w:rsid w:val="003E2876"/>
    <w:rsid w:val="003F6587"/>
    <w:rsid w:val="00411722"/>
    <w:rsid w:val="00437AF3"/>
    <w:rsid w:val="00450007"/>
    <w:rsid w:val="0045630D"/>
    <w:rsid w:val="00457DD3"/>
    <w:rsid w:val="00473D36"/>
    <w:rsid w:val="00482B64"/>
    <w:rsid w:val="00487263"/>
    <w:rsid w:val="004A3BD7"/>
    <w:rsid w:val="004B3289"/>
    <w:rsid w:val="004B7351"/>
    <w:rsid w:val="00514FE0"/>
    <w:rsid w:val="00523B79"/>
    <w:rsid w:val="00556D69"/>
    <w:rsid w:val="005703B7"/>
    <w:rsid w:val="005A4E47"/>
    <w:rsid w:val="005A54C9"/>
    <w:rsid w:val="005D2065"/>
    <w:rsid w:val="005D4432"/>
    <w:rsid w:val="0062475C"/>
    <w:rsid w:val="00637AFB"/>
    <w:rsid w:val="00645E05"/>
    <w:rsid w:val="006527C6"/>
    <w:rsid w:val="00671ADF"/>
    <w:rsid w:val="00680264"/>
    <w:rsid w:val="00697151"/>
    <w:rsid w:val="006B0B52"/>
    <w:rsid w:val="006E00B9"/>
    <w:rsid w:val="006F06F9"/>
    <w:rsid w:val="0075334E"/>
    <w:rsid w:val="00756CCA"/>
    <w:rsid w:val="007678A6"/>
    <w:rsid w:val="007B1154"/>
    <w:rsid w:val="007E31CB"/>
    <w:rsid w:val="007E3B3E"/>
    <w:rsid w:val="007F4E03"/>
    <w:rsid w:val="0081797A"/>
    <w:rsid w:val="0084446A"/>
    <w:rsid w:val="00844FBF"/>
    <w:rsid w:val="008817F1"/>
    <w:rsid w:val="00881F77"/>
    <w:rsid w:val="008A4C93"/>
    <w:rsid w:val="008C3900"/>
    <w:rsid w:val="008E3FE7"/>
    <w:rsid w:val="009054B7"/>
    <w:rsid w:val="00906F18"/>
    <w:rsid w:val="0095051C"/>
    <w:rsid w:val="00951791"/>
    <w:rsid w:val="00975170"/>
    <w:rsid w:val="009B4375"/>
    <w:rsid w:val="009D1DB1"/>
    <w:rsid w:val="009D4199"/>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F1106"/>
    <w:rsid w:val="00B3608C"/>
    <w:rsid w:val="00BA7368"/>
    <w:rsid w:val="00C02E61"/>
    <w:rsid w:val="00C115FC"/>
    <w:rsid w:val="00C45A81"/>
    <w:rsid w:val="00C541A2"/>
    <w:rsid w:val="00C70C5C"/>
    <w:rsid w:val="00C71591"/>
    <w:rsid w:val="00CA7AE4"/>
    <w:rsid w:val="00CB02C4"/>
    <w:rsid w:val="00CB3026"/>
    <w:rsid w:val="00CB708C"/>
    <w:rsid w:val="00CC1F79"/>
    <w:rsid w:val="00CD37F4"/>
    <w:rsid w:val="00CE67EA"/>
    <w:rsid w:val="00D01990"/>
    <w:rsid w:val="00D429DB"/>
    <w:rsid w:val="00D57822"/>
    <w:rsid w:val="00D669F8"/>
    <w:rsid w:val="00D82C18"/>
    <w:rsid w:val="00D92E47"/>
    <w:rsid w:val="00E13BE7"/>
    <w:rsid w:val="00E243AE"/>
    <w:rsid w:val="00E31F52"/>
    <w:rsid w:val="00E7344B"/>
    <w:rsid w:val="00E95703"/>
    <w:rsid w:val="00EB21C2"/>
    <w:rsid w:val="00EC7406"/>
    <w:rsid w:val="00F1574D"/>
    <w:rsid w:val="00F504D6"/>
    <w:rsid w:val="00F62A15"/>
    <w:rsid w:val="00F955B5"/>
    <w:rsid w:val="00FA5D5D"/>
    <w:rsid w:val="00FB24E8"/>
    <w:rsid w:val="00FB6DE5"/>
    <w:rsid w:val="00FE45CA"/>
    <w:rsid w:val="00FE4BFE"/>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9521">
      <w:bodyDiv w:val="1"/>
      <w:marLeft w:val="0"/>
      <w:marRight w:val="0"/>
      <w:marTop w:val="0"/>
      <w:marBottom w:val="0"/>
      <w:divBdr>
        <w:top w:val="none" w:sz="0" w:space="0" w:color="auto"/>
        <w:left w:val="none" w:sz="0" w:space="0" w:color="auto"/>
        <w:bottom w:val="none" w:sz="0" w:space="0" w:color="auto"/>
        <w:right w:val="none" w:sz="0" w:space="0" w:color="auto"/>
      </w:divBdr>
      <w:divsChild>
        <w:div w:id="1556623783">
          <w:marLeft w:val="547"/>
          <w:marRight w:val="0"/>
          <w:marTop w:val="0"/>
          <w:marBottom w:val="0"/>
          <w:divBdr>
            <w:top w:val="none" w:sz="0" w:space="0" w:color="auto"/>
            <w:left w:val="none" w:sz="0" w:space="0" w:color="auto"/>
            <w:bottom w:val="none" w:sz="0" w:space="0" w:color="auto"/>
            <w:right w:val="none" w:sz="0" w:space="0" w:color="auto"/>
          </w:divBdr>
        </w:div>
        <w:div w:id="1151675761">
          <w:marLeft w:val="547"/>
          <w:marRight w:val="0"/>
          <w:marTop w:val="0"/>
          <w:marBottom w:val="0"/>
          <w:divBdr>
            <w:top w:val="none" w:sz="0" w:space="0" w:color="auto"/>
            <w:left w:val="none" w:sz="0" w:space="0" w:color="auto"/>
            <w:bottom w:val="none" w:sz="0" w:space="0" w:color="auto"/>
            <w:right w:val="none" w:sz="0" w:space="0" w:color="auto"/>
          </w:divBdr>
        </w:div>
        <w:div w:id="1715502105">
          <w:marLeft w:val="547"/>
          <w:marRight w:val="0"/>
          <w:marTop w:val="0"/>
          <w:marBottom w:val="0"/>
          <w:divBdr>
            <w:top w:val="none" w:sz="0" w:space="0" w:color="auto"/>
            <w:left w:val="none" w:sz="0" w:space="0" w:color="auto"/>
            <w:bottom w:val="none" w:sz="0" w:space="0" w:color="auto"/>
            <w:right w:val="none" w:sz="0" w:space="0" w:color="auto"/>
          </w:divBdr>
        </w:div>
      </w:divsChild>
    </w:div>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440296206">
      <w:bodyDiv w:val="1"/>
      <w:marLeft w:val="0"/>
      <w:marRight w:val="0"/>
      <w:marTop w:val="0"/>
      <w:marBottom w:val="0"/>
      <w:divBdr>
        <w:top w:val="none" w:sz="0" w:space="0" w:color="auto"/>
        <w:left w:val="none" w:sz="0" w:space="0" w:color="auto"/>
        <w:bottom w:val="none" w:sz="0" w:space="0" w:color="auto"/>
        <w:right w:val="none" w:sz="0" w:space="0" w:color="auto"/>
      </w:divBdr>
      <w:divsChild>
        <w:div w:id="1485462958">
          <w:marLeft w:val="547"/>
          <w:marRight w:val="0"/>
          <w:marTop w:val="0"/>
          <w:marBottom w:val="0"/>
          <w:divBdr>
            <w:top w:val="none" w:sz="0" w:space="0" w:color="auto"/>
            <w:left w:val="none" w:sz="0" w:space="0" w:color="auto"/>
            <w:bottom w:val="none" w:sz="0" w:space="0" w:color="auto"/>
            <w:right w:val="none" w:sz="0" w:space="0" w:color="auto"/>
          </w:divBdr>
        </w:div>
        <w:div w:id="1493259783">
          <w:marLeft w:val="547"/>
          <w:marRight w:val="0"/>
          <w:marTop w:val="0"/>
          <w:marBottom w:val="0"/>
          <w:divBdr>
            <w:top w:val="none" w:sz="0" w:space="0" w:color="auto"/>
            <w:left w:val="none" w:sz="0" w:space="0" w:color="auto"/>
            <w:bottom w:val="none" w:sz="0" w:space="0" w:color="auto"/>
            <w:right w:val="none" w:sz="0" w:space="0" w:color="auto"/>
          </w:divBdr>
        </w:div>
        <w:div w:id="653798367">
          <w:marLeft w:val="547"/>
          <w:marRight w:val="0"/>
          <w:marTop w:val="0"/>
          <w:marBottom w:val="0"/>
          <w:divBdr>
            <w:top w:val="none" w:sz="0" w:space="0" w:color="auto"/>
            <w:left w:val="none" w:sz="0" w:space="0" w:color="auto"/>
            <w:bottom w:val="none" w:sz="0" w:space="0" w:color="auto"/>
            <w:right w:val="none" w:sz="0" w:space="0" w:color="auto"/>
          </w:divBdr>
        </w:div>
      </w:divsChild>
    </w:div>
    <w:div w:id="870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640321">
          <w:marLeft w:val="547"/>
          <w:marRight w:val="0"/>
          <w:marTop w:val="0"/>
          <w:marBottom w:val="0"/>
          <w:divBdr>
            <w:top w:val="none" w:sz="0" w:space="0" w:color="auto"/>
            <w:left w:val="none" w:sz="0" w:space="0" w:color="auto"/>
            <w:bottom w:val="none" w:sz="0" w:space="0" w:color="auto"/>
            <w:right w:val="none" w:sz="0" w:space="0" w:color="auto"/>
          </w:divBdr>
        </w:div>
        <w:div w:id="2043433070">
          <w:marLeft w:val="547"/>
          <w:marRight w:val="0"/>
          <w:marTop w:val="0"/>
          <w:marBottom w:val="0"/>
          <w:divBdr>
            <w:top w:val="none" w:sz="0" w:space="0" w:color="auto"/>
            <w:left w:val="none" w:sz="0" w:space="0" w:color="auto"/>
            <w:bottom w:val="none" w:sz="0" w:space="0" w:color="auto"/>
            <w:right w:val="none" w:sz="0" w:space="0" w:color="auto"/>
          </w:divBdr>
        </w:div>
      </w:divsChild>
    </w:div>
    <w:div w:id="1098911757">
      <w:bodyDiv w:val="1"/>
      <w:marLeft w:val="0"/>
      <w:marRight w:val="0"/>
      <w:marTop w:val="0"/>
      <w:marBottom w:val="0"/>
      <w:divBdr>
        <w:top w:val="none" w:sz="0" w:space="0" w:color="auto"/>
        <w:left w:val="none" w:sz="0" w:space="0" w:color="auto"/>
        <w:bottom w:val="none" w:sz="0" w:space="0" w:color="auto"/>
        <w:right w:val="none" w:sz="0" w:space="0" w:color="auto"/>
      </w:divBdr>
      <w:divsChild>
        <w:div w:id="973366596">
          <w:marLeft w:val="547"/>
          <w:marRight w:val="0"/>
          <w:marTop w:val="0"/>
          <w:marBottom w:val="0"/>
          <w:divBdr>
            <w:top w:val="none" w:sz="0" w:space="0" w:color="auto"/>
            <w:left w:val="none" w:sz="0" w:space="0" w:color="auto"/>
            <w:bottom w:val="none" w:sz="0" w:space="0" w:color="auto"/>
            <w:right w:val="none" w:sz="0" w:space="0" w:color="auto"/>
          </w:divBdr>
        </w:div>
        <w:div w:id="1778914394">
          <w:marLeft w:val="547"/>
          <w:marRight w:val="0"/>
          <w:marTop w:val="0"/>
          <w:marBottom w:val="0"/>
          <w:divBdr>
            <w:top w:val="none" w:sz="0" w:space="0" w:color="auto"/>
            <w:left w:val="none" w:sz="0" w:space="0" w:color="auto"/>
            <w:bottom w:val="none" w:sz="0" w:space="0" w:color="auto"/>
            <w:right w:val="none" w:sz="0" w:space="0" w:color="auto"/>
          </w:divBdr>
        </w:div>
        <w:div w:id="1820996059">
          <w:marLeft w:val="547"/>
          <w:marRight w:val="0"/>
          <w:marTop w:val="0"/>
          <w:marBottom w:val="0"/>
          <w:divBdr>
            <w:top w:val="none" w:sz="0" w:space="0" w:color="auto"/>
            <w:left w:val="none" w:sz="0" w:space="0" w:color="auto"/>
            <w:bottom w:val="none" w:sz="0" w:space="0" w:color="auto"/>
            <w:right w:val="none" w:sz="0" w:space="0" w:color="auto"/>
          </w:divBdr>
        </w:div>
      </w:divsChild>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 w:id="1895265325">
      <w:bodyDiv w:val="1"/>
      <w:marLeft w:val="0"/>
      <w:marRight w:val="0"/>
      <w:marTop w:val="0"/>
      <w:marBottom w:val="0"/>
      <w:divBdr>
        <w:top w:val="none" w:sz="0" w:space="0" w:color="auto"/>
        <w:left w:val="none" w:sz="0" w:space="0" w:color="auto"/>
        <w:bottom w:val="none" w:sz="0" w:space="0" w:color="auto"/>
        <w:right w:val="none" w:sz="0" w:space="0" w:color="auto"/>
      </w:divBdr>
      <w:divsChild>
        <w:div w:id="648049201">
          <w:marLeft w:val="547"/>
          <w:marRight w:val="0"/>
          <w:marTop w:val="0"/>
          <w:marBottom w:val="0"/>
          <w:divBdr>
            <w:top w:val="none" w:sz="0" w:space="0" w:color="auto"/>
            <w:left w:val="none" w:sz="0" w:space="0" w:color="auto"/>
            <w:bottom w:val="none" w:sz="0" w:space="0" w:color="auto"/>
            <w:right w:val="none" w:sz="0" w:space="0" w:color="auto"/>
          </w:divBdr>
        </w:div>
        <w:div w:id="721708476">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Abbas Lotia</cp:lastModifiedBy>
  <cp:revision>26</cp:revision>
  <dcterms:created xsi:type="dcterms:W3CDTF">2020-10-14T07:03:00Z</dcterms:created>
  <dcterms:modified xsi:type="dcterms:W3CDTF">2020-10-23T20:47:00Z</dcterms:modified>
</cp:coreProperties>
</file>