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CBE60" w14:textId="77777777" w:rsidR="002B663B" w:rsidRPr="00183EFE" w:rsidRDefault="002B663B" w:rsidP="00183EFE">
      <w:pPr>
        <w:spacing w:before="120" w:after="120"/>
        <w:jc w:val="center"/>
        <w:rPr>
          <w:b/>
          <w:bCs/>
          <w:sz w:val="20"/>
          <w:szCs w:val="20"/>
        </w:rPr>
      </w:pPr>
      <w:r w:rsidRPr="00183EFE">
        <w:rPr>
          <w:b/>
          <w:sz w:val="20"/>
          <w:szCs w:val="20"/>
        </w:rPr>
        <w:t xml:space="preserve">Sesioni 1.3: </w:t>
      </w:r>
    </w:p>
    <w:p w14:paraId="31D03AB3" w14:textId="77777777" w:rsidR="002B663B" w:rsidRPr="00183EFE" w:rsidRDefault="002B663B" w:rsidP="00183EFE">
      <w:pPr>
        <w:spacing w:before="120" w:after="120"/>
        <w:jc w:val="center"/>
        <w:rPr>
          <w:b/>
          <w:bCs/>
          <w:sz w:val="20"/>
          <w:szCs w:val="20"/>
        </w:rPr>
      </w:pPr>
      <w:r w:rsidRPr="00183EFE">
        <w:rPr>
          <w:b/>
          <w:sz w:val="20"/>
          <w:szCs w:val="20"/>
        </w:rPr>
        <w:t xml:space="preserve">Bashkëpunimi ndërkombëtar në </w:t>
      </w:r>
    </w:p>
    <w:p w14:paraId="1C68A5FE" w14:textId="77777777" w:rsidR="002B663B" w:rsidRPr="00183EFE" w:rsidRDefault="002B663B" w:rsidP="00183EFE">
      <w:pPr>
        <w:spacing w:before="120" w:after="120"/>
        <w:jc w:val="center"/>
        <w:rPr>
          <w:b/>
          <w:bCs/>
          <w:sz w:val="20"/>
          <w:szCs w:val="20"/>
        </w:rPr>
      </w:pPr>
      <w:r w:rsidRPr="00183EFE">
        <w:rPr>
          <w:b/>
          <w:sz w:val="20"/>
          <w:szCs w:val="20"/>
        </w:rPr>
        <w:t>Ekonominë globale</w:t>
      </w:r>
    </w:p>
    <w:p w14:paraId="75B4C741" w14:textId="77777777" w:rsidR="002B663B" w:rsidRPr="00183EFE" w:rsidRDefault="002B663B" w:rsidP="00183EFE">
      <w:pPr>
        <w:spacing w:before="120" w:after="120"/>
        <w:jc w:val="center"/>
        <w:rPr>
          <w:b/>
          <w:bCs/>
          <w:sz w:val="20"/>
          <w:szCs w:val="20"/>
        </w:rPr>
      </w:pPr>
    </w:p>
    <w:p w14:paraId="334CFB7B" w14:textId="77777777" w:rsidR="00627C6D" w:rsidRPr="00183EFE" w:rsidRDefault="00627C6D" w:rsidP="00183EFE">
      <w:pPr>
        <w:spacing w:before="120" w:after="120"/>
        <w:jc w:val="center"/>
        <w:rPr>
          <w:b/>
          <w:bCs/>
          <w:sz w:val="20"/>
          <w:szCs w:val="20"/>
        </w:rPr>
      </w:pPr>
      <w:r w:rsidRPr="00183EFE">
        <w:rPr>
          <w:b/>
          <w:i/>
          <w:sz w:val="20"/>
          <w:szCs w:val="20"/>
        </w:rPr>
        <w:t>Hyrje në ushtrimet e studimit të rastit dhe punën në grupe</w:t>
      </w:r>
    </w:p>
    <w:p w14:paraId="2B5862B2" w14:textId="77777777" w:rsidR="00CC0771" w:rsidRPr="00183EFE" w:rsidRDefault="00CC0771" w:rsidP="00183EFE">
      <w:pPr>
        <w:spacing w:before="120" w:after="120"/>
        <w:rPr>
          <w:sz w:val="20"/>
          <w:szCs w:val="20"/>
        </w:rPr>
      </w:pPr>
    </w:p>
    <w:p w14:paraId="78CF054D" w14:textId="77777777" w:rsidR="00627C6D" w:rsidRPr="00183EFE" w:rsidRDefault="00627C6D" w:rsidP="00183EFE">
      <w:pPr>
        <w:spacing w:before="120" w:after="120"/>
        <w:rPr>
          <w:sz w:val="20"/>
          <w:szCs w:val="20"/>
        </w:rPr>
      </w:pPr>
    </w:p>
    <w:p w14:paraId="390B557B" w14:textId="77777777" w:rsidR="00627C6D" w:rsidRPr="00183EFE" w:rsidRDefault="00627C6D" w:rsidP="00183EFE">
      <w:pPr>
        <w:spacing w:before="120" w:after="120"/>
        <w:jc w:val="center"/>
        <w:rPr>
          <w:b/>
          <w:sz w:val="20"/>
          <w:szCs w:val="20"/>
        </w:rPr>
      </w:pPr>
      <w:r w:rsidRPr="00183EFE">
        <w:rPr>
          <w:b/>
          <w:sz w:val="20"/>
          <w:szCs w:val="20"/>
        </w:rPr>
        <w:t>Mjetet procedurale</w:t>
      </w:r>
    </w:p>
    <w:p w14:paraId="02DB28ED" w14:textId="77777777" w:rsidR="00627C6D" w:rsidRPr="00183EFE" w:rsidRDefault="00627C6D" w:rsidP="00183EFE">
      <w:pPr>
        <w:spacing w:before="120" w:after="120"/>
        <w:jc w:val="center"/>
        <w:rPr>
          <w:b/>
          <w:sz w:val="20"/>
          <w:szCs w:val="20"/>
        </w:rPr>
      </w:pPr>
    </w:p>
    <w:p w14:paraId="2CBDCC63" w14:textId="77777777" w:rsidR="00627C6D" w:rsidRPr="00183EFE" w:rsidRDefault="00627C6D" w:rsidP="00183EFE">
      <w:pPr>
        <w:spacing w:before="120" w:after="120"/>
        <w:jc w:val="center"/>
        <w:rPr>
          <w:b/>
          <w:sz w:val="20"/>
          <w:szCs w:val="20"/>
        </w:rPr>
      </w:pPr>
    </w:p>
    <w:p w14:paraId="0856C5F7" w14:textId="77777777" w:rsidR="00627C6D" w:rsidRPr="00183EFE" w:rsidRDefault="00627C6D" w:rsidP="00183EFE">
      <w:pPr>
        <w:pStyle w:val="NormalWeb"/>
        <w:spacing w:before="120" w:beforeAutospacing="0" w:after="120" w:afterAutospacing="0" w:line="260" w:lineRule="atLeast"/>
        <w:ind w:left="1134" w:hanging="1044"/>
        <w:jc w:val="both"/>
        <w:rPr>
          <w:rFonts w:ascii="Verdana" w:hAnsi="Verdana"/>
          <w:sz w:val="20"/>
          <w:szCs w:val="20"/>
        </w:rPr>
      </w:pPr>
      <w:r w:rsidRPr="00183EFE">
        <w:rPr>
          <w:rStyle w:val="Strong"/>
          <w:rFonts w:ascii="Verdana" w:hAnsi="Verdana"/>
          <w:sz w:val="20"/>
          <w:szCs w:val="20"/>
        </w:rPr>
        <w:t>Neni 29 – Ruajtja e përshpejtuar e të dhënave kompjuterike të memorizuara</w:t>
      </w:r>
      <w:r w:rsidRPr="00183EFE">
        <w:rPr>
          <w:rFonts w:ascii="Verdana" w:hAnsi="Verdana"/>
          <w:sz w:val="20"/>
          <w:szCs w:val="20"/>
        </w:rPr>
        <w:t xml:space="preserve"> </w:t>
      </w:r>
    </w:p>
    <w:p w14:paraId="03F5509A"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1. </w:t>
      </w:r>
      <w:r w:rsidRPr="00183EFE">
        <w:rPr>
          <w:rStyle w:val="normal10"/>
          <w:rFonts w:ascii="Verdana" w:hAnsi="Verdana"/>
          <w:sz w:val="20"/>
          <w:szCs w:val="20"/>
        </w:rPr>
        <w:t>Një Palë mund t’i kërkojë një Pale tjetër të urdhërojë ose të sigurojë në ndonjë mënyrë tjetër ruajtjen e përshpejtuar të të dhënave të regjistruara nëpërmjet një sistemi kompjuterik, i cili ndodhet brenda territorit të Palës tjetër dhe në lidhje me të cilën Pala dërguese ka ndërmend të bëjë një kërkesë për ndihmë të ndërsjellë për të kërkuar hyrje të ngjashme, ngrirje, sigurim të ngjashëm ose hapje të të dhënave.</w:t>
      </w:r>
      <w:r w:rsidRPr="00183EFE">
        <w:rPr>
          <w:rFonts w:ascii="Verdana" w:hAnsi="Verdana"/>
          <w:sz w:val="20"/>
          <w:szCs w:val="20"/>
        </w:rPr>
        <w:t xml:space="preserve"> </w:t>
      </w:r>
    </w:p>
    <w:p w14:paraId="7521DC70"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2. </w:t>
      </w:r>
      <w:r w:rsidRPr="00183EFE">
        <w:rPr>
          <w:rStyle w:val="normal10"/>
          <w:rFonts w:ascii="Verdana" w:hAnsi="Verdana"/>
          <w:sz w:val="20"/>
          <w:szCs w:val="20"/>
        </w:rPr>
        <w:t>Një kërkesë për ruajtjen e të dhënave e bërë sipas paragrafit 1 përcakton:</w:t>
      </w:r>
      <w:r w:rsidRPr="00183EFE">
        <w:rPr>
          <w:rFonts w:ascii="Verdana" w:hAnsi="Verdana"/>
          <w:sz w:val="20"/>
          <w:szCs w:val="20"/>
        </w:rPr>
        <w:t xml:space="preserve"> </w:t>
      </w:r>
    </w:p>
    <w:p w14:paraId="2F12B33E"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a.) </w:t>
      </w:r>
      <w:r w:rsidRPr="00183EFE">
        <w:rPr>
          <w:rStyle w:val="normal10"/>
          <w:rFonts w:ascii="Verdana" w:hAnsi="Verdana"/>
          <w:sz w:val="20"/>
          <w:szCs w:val="20"/>
        </w:rPr>
        <w:t>autoritetin që kërkon ruajtjen;</w:t>
      </w:r>
      <w:r w:rsidRPr="00183EFE">
        <w:rPr>
          <w:rFonts w:ascii="Verdana" w:hAnsi="Verdana"/>
          <w:sz w:val="20"/>
          <w:szCs w:val="20"/>
        </w:rPr>
        <w:t xml:space="preserve"> </w:t>
      </w:r>
    </w:p>
    <w:p w14:paraId="7B73236B"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b.) </w:t>
      </w:r>
      <w:r w:rsidRPr="00183EFE">
        <w:rPr>
          <w:rStyle w:val="normal10"/>
          <w:rFonts w:ascii="Verdana" w:hAnsi="Verdana"/>
          <w:sz w:val="20"/>
          <w:szCs w:val="20"/>
        </w:rPr>
        <w:t>veprën penale që është objekt i hetimit ose gjykimit penal dhe një përshkrim të shkurtër me faktet përkatëse;</w:t>
      </w:r>
      <w:r w:rsidRPr="00183EFE">
        <w:rPr>
          <w:rFonts w:ascii="Verdana" w:hAnsi="Verdana"/>
          <w:sz w:val="20"/>
          <w:szCs w:val="20"/>
        </w:rPr>
        <w:t xml:space="preserve"> </w:t>
      </w:r>
    </w:p>
    <w:p w14:paraId="0B22AE2B"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c.) </w:t>
      </w:r>
      <w:r w:rsidRPr="00183EFE">
        <w:rPr>
          <w:rStyle w:val="normal10"/>
          <w:rFonts w:ascii="Verdana" w:hAnsi="Verdana"/>
          <w:sz w:val="20"/>
          <w:szCs w:val="20"/>
        </w:rPr>
        <w:t>të dhënat kompjuterike të regjistruara që duhet të ruhen dhe lidhjen me veprën penale;</w:t>
      </w:r>
      <w:r w:rsidRPr="00183EFE">
        <w:rPr>
          <w:rFonts w:ascii="Verdana" w:hAnsi="Verdana"/>
          <w:sz w:val="20"/>
          <w:szCs w:val="20"/>
        </w:rPr>
        <w:t xml:space="preserve"> </w:t>
      </w:r>
    </w:p>
    <w:p w14:paraId="4C80697C"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d.) </w:t>
      </w:r>
      <w:r w:rsidRPr="00183EFE">
        <w:rPr>
          <w:rStyle w:val="normal10"/>
          <w:rFonts w:ascii="Verdana" w:hAnsi="Verdana"/>
          <w:sz w:val="20"/>
          <w:szCs w:val="20"/>
        </w:rPr>
        <w:t>çdo informacion të mundshëm për të identifikuar mbajtësin e të dhënave të regjistruara në kompjuter ose vendndodhjen e sistemit kompjuterik;</w:t>
      </w:r>
      <w:r w:rsidRPr="00183EFE">
        <w:rPr>
          <w:rFonts w:ascii="Verdana" w:hAnsi="Verdana"/>
          <w:sz w:val="20"/>
          <w:szCs w:val="20"/>
        </w:rPr>
        <w:t xml:space="preserve"> </w:t>
      </w:r>
    </w:p>
    <w:p w14:paraId="755B86EC"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e.) </w:t>
      </w:r>
      <w:r w:rsidRPr="00183EFE">
        <w:rPr>
          <w:rStyle w:val="normal10"/>
          <w:rFonts w:ascii="Verdana" w:hAnsi="Verdana"/>
          <w:sz w:val="20"/>
          <w:szCs w:val="20"/>
        </w:rPr>
        <w:t>nevojën e ruajtjes; dhe</w:t>
      </w:r>
      <w:r w:rsidRPr="00183EFE">
        <w:rPr>
          <w:rFonts w:ascii="Verdana" w:hAnsi="Verdana"/>
          <w:sz w:val="20"/>
          <w:szCs w:val="20"/>
        </w:rPr>
        <w:t xml:space="preserve"> </w:t>
      </w:r>
    </w:p>
    <w:p w14:paraId="5353F382"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f.) </w:t>
      </w:r>
      <w:r w:rsidRPr="00183EFE">
        <w:rPr>
          <w:rStyle w:val="normal10"/>
          <w:rFonts w:ascii="Verdana" w:hAnsi="Verdana"/>
          <w:sz w:val="20"/>
          <w:szCs w:val="20"/>
        </w:rPr>
        <w:t>që Pala synon të bëjë një kërkesë për ndihmë juridike të ndërsjellë për kërkimin e qasjes së ngjashme, ngrirjen, ose sigurimin në mënyrë tjetër, ose zbulimin e të dhënave kompjuterike të ruajtura.</w:t>
      </w:r>
      <w:r w:rsidRPr="00183EFE">
        <w:rPr>
          <w:rFonts w:ascii="Verdana" w:hAnsi="Verdana"/>
          <w:sz w:val="20"/>
          <w:szCs w:val="20"/>
        </w:rPr>
        <w:t xml:space="preserve"> </w:t>
      </w:r>
    </w:p>
    <w:p w14:paraId="56B1B218"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3. </w:t>
      </w:r>
      <w:r w:rsidRPr="00183EFE">
        <w:rPr>
          <w:rStyle w:val="normal10"/>
          <w:rFonts w:ascii="Verdana" w:hAnsi="Verdana"/>
          <w:sz w:val="20"/>
          <w:szCs w:val="20"/>
        </w:rPr>
        <w:t>Me marrjen e një kërkese nga një Palë tjetër, Pala pritëse merr të gjitha masat e nevojshme për të ruajtur në mënyrë të përshpejtuar të dhënat e përcaktuara në pajtim me ligjin vendas. Për qëllimet e përgjigjes së një kërkese, kriminaliteti i dyfishtë nuk kërkohet si kusht për sigurimin e ruajtjes.</w:t>
      </w:r>
      <w:r w:rsidRPr="00183EFE">
        <w:rPr>
          <w:rFonts w:ascii="Verdana" w:hAnsi="Verdana"/>
          <w:sz w:val="20"/>
          <w:szCs w:val="20"/>
        </w:rPr>
        <w:t xml:space="preserve"> </w:t>
      </w:r>
    </w:p>
    <w:p w14:paraId="7A0A23D3"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4. </w:t>
      </w:r>
      <w:r w:rsidRPr="00183EFE">
        <w:rPr>
          <w:rStyle w:val="normal10"/>
          <w:rFonts w:ascii="Verdana" w:hAnsi="Verdana"/>
          <w:sz w:val="20"/>
          <w:szCs w:val="20"/>
        </w:rPr>
        <w:t>Një Palë që kërkon kriminalitet të dyfishtë, si një kusht për përgjigjen e një kërkese për ndihmë të ndërsjellë për kërkim ose hyrje, ngrirje ose sigurim në ndonjë mënyrë tjetër, ose hapjen e të dhënave, në lidhje me veprat penale të ndryshme nga ato të përcaktuara në pajtim me nenet 2 –11 të kësaj Konvente, mund të rezervojë të drejtën për të refuzuar kërkesën për ruajtjen sipas këtij neni, në rastet kur ajo ka arsye për të besuar se në momentin e njoftimit nuk mund të përmbushet kushti i kriminalitetit të dyfishtë.</w:t>
      </w:r>
      <w:r w:rsidRPr="00183EFE">
        <w:rPr>
          <w:rFonts w:ascii="Verdana" w:hAnsi="Verdana"/>
          <w:sz w:val="20"/>
          <w:szCs w:val="20"/>
        </w:rPr>
        <w:t xml:space="preserve"> </w:t>
      </w:r>
    </w:p>
    <w:p w14:paraId="720D3F13"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5. </w:t>
      </w:r>
      <w:r w:rsidRPr="00183EFE">
        <w:rPr>
          <w:rStyle w:val="normal10"/>
          <w:rFonts w:ascii="Verdana" w:hAnsi="Verdana"/>
          <w:sz w:val="20"/>
          <w:szCs w:val="20"/>
        </w:rPr>
        <w:t>Përveç kësaj, një kërkesë për ruajtje mund të refuzohet vetëm kur:</w:t>
      </w:r>
      <w:r w:rsidRPr="00183EFE">
        <w:rPr>
          <w:rFonts w:ascii="Verdana" w:hAnsi="Verdana"/>
          <w:sz w:val="20"/>
          <w:szCs w:val="20"/>
        </w:rPr>
        <w:t xml:space="preserve"> </w:t>
      </w:r>
    </w:p>
    <w:p w14:paraId="0139ABA0"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lastRenderedPageBreak/>
        <w:t xml:space="preserve">a.) </w:t>
      </w:r>
      <w:r w:rsidRPr="00183EFE">
        <w:rPr>
          <w:rStyle w:val="normal10"/>
          <w:rFonts w:ascii="Verdana" w:hAnsi="Verdana"/>
          <w:sz w:val="20"/>
          <w:szCs w:val="20"/>
        </w:rPr>
        <w:t>kërkesa ka të bëjë me një vepër penale të cilën Pala pritëse e konsideron vepër penale politike ose vepër të lidhur me një vepër politike; ose</w:t>
      </w:r>
      <w:r w:rsidRPr="00183EFE">
        <w:rPr>
          <w:rFonts w:ascii="Verdana" w:hAnsi="Verdana"/>
          <w:sz w:val="20"/>
          <w:szCs w:val="20"/>
        </w:rPr>
        <w:t xml:space="preserve"> </w:t>
      </w:r>
    </w:p>
    <w:p w14:paraId="1C79C602"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b.) </w:t>
      </w:r>
      <w:r w:rsidRPr="00183EFE">
        <w:rPr>
          <w:rStyle w:val="normal10"/>
          <w:rFonts w:ascii="Verdana" w:hAnsi="Verdana"/>
          <w:sz w:val="20"/>
          <w:szCs w:val="20"/>
        </w:rPr>
        <w:t xml:space="preserve">Pala pritëse gjykon se përmbushja e kërkesës ka të ngjarë të cenojë sovranitetin, sigurinë, </w:t>
      </w:r>
      <w:r w:rsidRPr="00183EFE">
        <w:rPr>
          <w:rStyle w:val="normal10"/>
          <w:rFonts w:ascii="Verdana" w:hAnsi="Verdana"/>
          <w:i/>
          <w:iCs/>
          <w:sz w:val="20"/>
          <w:szCs w:val="20"/>
        </w:rPr>
        <w:t>rendin publik</w:t>
      </w:r>
      <w:r w:rsidRPr="00183EFE">
        <w:rPr>
          <w:rStyle w:val="normal10"/>
          <w:rFonts w:ascii="Verdana" w:hAnsi="Verdana"/>
          <w:sz w:val="20"/>
          <w:szCs w:val="20"/>
        </w:rPr>
        <w:t xml:space="preserve"> ose interesa të tjera thelbësore. </w:t>
      </w:r>
      <w:r w:rsidRPr="00183EFE">
        <w:rPr>
          <w:rFonts w:ascii="Verdana" w:hAnsi="Verdana"/>
          <w:sz w:val="20"/>
          <w:szCs w:val="20"/>
        </w:rPr>
        <w:t xml:space="preserve"> </w:t>
      </w:r>
    </w:p>
    <w:p w14:paraId="06AE0D01"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6. </w:t>
      </w:r>
      <w:r w:rsidRPr="00183EFE">
        <w:rPr>
          <w:rStyle w:val="normal10"/>
          <w:rFonts w:ascii="Verdana" w:hAnsi="Verdana"/>
          <w:sz w:val="20"/>
          <w:szCs w:val="20"/>
        </w:rPr>
        <w:t>Kur Pala pritëse mendon se ruajtja nuk ka për të siguruar marrjen e mëvonshme të të dhënave ose kërcënon konfidencialitetin ose cenon në ndonjë mënyrë tjetër hetimin e Palës dërguese, ajo e njofton këtë menjëherë, e cila pastaj vendos nëse. megjithëkëtë, kërkesa duhet të përmbushet.</w:t>
      </w:r>
      <w:r w:rsidRPr="00183EFE">
        <w:rPr>
          <w:rFonts w:ascii="Verdana" w:hAnsi="Verdana"/>
          <w:sz w:val="20"/>
          <w:szCs w:val="20"/>
        </w:rPr>
        <w:t xml:space="preserve"> </w:t>
      </w:r>
    </w:p>
    <w:p w14:paraId="5E3588E9"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7. </w:t>
      </w:r>
      <w:r w:rsidRPr="00183EFE">
        <w:rPr>
          <w:rStyle w:val="normal10"/>
          <w:rFonts w:ascii="Verdana" w:hAnsi="Verdana"/>
          <w:sz w:val="20"/>
          <w:szCs w:val="20"/>
        </w:rPr>
        <w:t>Çdo ruajtje e bërë në pajtim me kërkesën e përmendur në paragrafin 1 është për një periudhë jo më të vogël se 60 ditë në mënyrë që t’i jepet mundësi Palës dërguese për të bërë një kërkesë për kërkimin, hyrjen, ngrirjen, ose sigurimin në ndonjë mënyrë tjetër, ose njoftimin e të dhënave. Pas marrjes së një kërkese të tillë, të dhënat vazhdojnë të ruhen në pritje të një vendimi për këtë kërkesë.</w:t>
      </w:r>
      <w:r w:rsidRPr="00183EFE">
        <w:rPr>
          <w:rFonts w:ascii="Verdana" w:hAnsi="Verdana"/>
          <w:sz w:val="20"/>
          <w:szCs w:val="20"/>
        </w:rPr>
        <w:t xml:space="preserve"> </w:t>
      </w:r>
    </w:p>
    <w:p w14:paraId="46D234EA" w14:textId="77777777" w:rsidR="00627C6D" w:rsidRPr="00183EFE" w:rsidRDefault="00627C6D" w:rsidP="00183EFE">
      <w:pPr>
        <w:pStyle w:val="NormalWeb"/>
        <w:spacing w:before="120" w:beforeAutospacing="0" w:after="120" w:afterAutospacing="0" w:line="260" w:lineRule="atLeast"/>
        <w:jc w:val="both"/>
        <w:rPr>
          <w:rStyle w:val="Strong"/>
          <w:rFonts w:ascii="Verdana" w:hAnsi="Verdana" w:cs="Arial"/>
          <w:sz w:val="20"/>
          <w:szCs w:val="20"/>
        </w:rPr>
      </w:pPr>
    </w:p>
    <w:p w14:paraId="0944C423" w14:textId="77777777" w:rsidR="00627C6D" w:rsidRPr="00183EFE" w:rsidRDefault="00627C6D" w:rsidP="00183EFE">
      <w:pPr>
        <w:pStyle w:val="NormalWeb"/>
        <w:spacing w:before="120" w:beforeAutospacing="0" w:after="120" w:afterAutospacing="0" w:line="260" w:lineRule="atLeast"/>
        <w:jc w:val="center"/>
        <w:rPr>
          <w:rStyle w:val="Strong"/>
          <w:rFonts w:ascii="Verdana" w:hAnsi="Verdana" w:cs="Arial"/>
          <w:sz w:val="20"/>
          <w:szCs w:val="20"/>
        </w:rPr>
      </w:pPr>
      <w:r w:rsidRPr="00183EFE">
        <w:rPr>
          <w:rStyle w:val="Strong"/>
          <w:rFonts w:ascii="Verdana" w:hAnsi="Verdana"/>
          <w:sz w:val="20"/>
          <w:szCs w:val="20"/>
        </w:rPr>
        <w:t xml:space="preserve">Neni 30 – </w:t>
      </w:r>
      <w:r w:rsidR="004F6020" w:rsidRPr="00183EFE">
        <w:rPr>
          <w:rStyle w:val="Strong"/>
          <w:rFonts w:ascii="Verdana" w:hAnsi="Verdana"/>
          <w:sz w:val="20"/>
          <w:szCs w:val="20"/>
        </w:rPr>
        <w:t>Zbulimi</w:t>
      </w:r>
      <w:r w:rsidRPr="00183EFE">
        <w:rPr>
          <w:rStyle w:val="Strong"/>
          <w:rFonts w:ascii="Verdana" w:hAnsi="Verdana"/>
          <w:sz w:val="20"/>
          <w:szCs w:val="20"/>
        </w:rPr>
        <w:t xml:space="preserve"> i përshpejtuar i të dhënave të ruajtura mbi komunikimin</w:t>
      </w:r>
    </w:p>
    <w:p w14:paraId="2E251F00" w14:textId="77777777" w:rsidR="00627C6D" w:rsidRPr="00183EFE" w:rsidRDefault="00627C6D" w:rsidP="00183EFE">
      <w:pPr>
        <w:pStyle w:val="NormalWeb"/>
        <w:spacing w:before="120" w:beforeAutospacing="0" w:after="120" w:afterAutospacing="0" w:line="260" w:lineRule="atLeast"/>
        <w:jc w:val="center"/>
        <w:rPr>
          <w:rFonts w:ascii="Verdana" w:hAnsi="Verdana"/>
          <w:sz w:val="20"/>
          <w:szCs w:val="20"/>
        </w:rPr>
      </w:pPr>
    </w:p>
    <w:p w14:paraId="612303E3"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1. </w:t>
      </w:r>
      <w:r w:rsidRPr="00183EFE">
        <w:rPr>
          <w:rStyle w:val="normal10"/>
          <w:rFonts w:ascii="Verdana" w:hAnsi="Verdana"/>
          <w:sz w:val="20"/>
          <w:szCs w:val="20"/>
        </w:rPr>
        <w:t>Kur gjatë përmbushjes së një kërkese të bërë sipas nenit 29 për ruajtjen e të dhënave të dërgimit të një komunikate të veçantë, Pala pritëse zbulon se një ofrues shërbimesh në një Shtet tjetër ka qenë i implikuar në dërgimin e komunikatës, Pala pritëse i njofton menjëherë Palës dërguese një masë të mjaftueshme të dhënash për të identifikuar dhënësin e shërbimeve dhe shtegun nëpërmjet të cilit komunikata është transmetuar.</w:t>
      </w:r>
      <w:r w:rsidRPr="00183EFE">
        <w:rPr>
          <w:rFonts w:ascii="Verdana" w:hAnsi="Verdana"/>
          <w:sz w:val="20"/>
          <w:szCs w:val="20"/>
        </w:rPr>
        <w:t xml:space="preserve"> </w:t>
      </w:r>
    </w:p>
    <w:p w14:paraId="175900D8"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2. </w:t>
      </w:r>
      <w:r w:rsidR="004F6020" w:rsidRPr="00183EFE">
        <w:rPr>
          <w:rStyle w:val="normal10"/>
          <w:rFonts w:ascii="Verdana" w:hAnsi="Verdana"/>
          <w:sz w:val="20"/>
          <w:szCs w:val="20"/>
        </w:rPr>
        <w:t>Zbulimi</w:t>
      </w:r>
      <w:r w:rsidRPr="00183EFE">
        <w:rPr>
          <w:rStyle w:val="normal10"/>
          <w:rFonts w:ascii="Verdana" w:hAnsi="Verdana"/>
          <w:sz w:val="20"/>
          <w:szCs w:val="20"/>
        </w:rPr>
        <w:t xml:space="preserve"> i të dhënave sipas paragrafit 1 mund të mos jepet vetëm kur: </w:t>
      </w:r>
    </w:p>
    <w:p w14:paraId="4C822F17" w14:textId="77777777" w:rsidR="00627C6D" w:rsidRPr="00183EFE" w:rsidRDefault="004F6020"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a.) </w:t>
      </w:r>
      <w:r w:rsidR="00627C6D" w:rsidRPr="00183EFE">
        <w:rPr>
          <w:rStyle w:val="normal10"/>
          <w:rFonts w:ascii="Verdana" w:hAnsi="Verdana"/>
          <w:sz w:val="20"/>
          <w:szCs w:val="20"/>
        </w:rPr>
        <w:t>kërkesa ka të bëjë me një vepër penale të cilën Pala pritëse e konsideron vepër penale politike ose vepër të lidhur me një vepër politike; ose</w:t>
      </w:r>
      <w:r w:rsidR="00627C6D" w:rsidRPr="00183EFE">
        <w:rPr>
          <w:rFonts w:ascii="Verdana" w:hAnsi="Verdana"/>
          <w:sz w:val="20"/>
          <w:szCs w:val="20"/>
        </w:rPr>
        <w:t xml:space="preserve"> </w:t>
      </w:r>
    </w:p>
    <w:p w14:paraId="39557047"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b.) </w:t>
      </w:r>
      <w:r w:rsidRPr="00183EFE">
        <w:rPr>
          <w:rStyle w:val="normal10"/>
          <w:rFonts w:ascii="Verdana" w:hAnsi="Verdana"/>
          <w:sz w:val="20"/>
          <w:szCs w:val="20"/>
        </w:rPr>
        <w:t xml:space="preserve">Pala </w:t>
      </w:r>
      <w:r w:rsidR="004F6020" w:rsidRPr="00183EFE">
        <w:rPr>
          <w:rStyle w:val="normal10"/>
          <w:rFonts w:ascii="Verdana" w:hAnsi="Verdana"/>
          <w:sz w:val="20"/>
          <w:szCs w:val="20"/>
        </w:rPr>
        <w:t>që merr kërkesën</w:t>
      </w:r>
      <w:r w:rsidRPr="00183EFE">
        <w:rPr>
          <w:rStyle w:val="normal10"/>
          <w:rFonts w:ascii="Verdana" w:hAnsi="Verdana"/>
          <w:sz w:val="20"/>
          <w:szCs w:val="20"/>
        </w:rPr>
        <w:t xml:space="preserve"> gjykon se përmbushja e kërkesës ka të ngjarë të cenojë sovranitetin, sigurinë, </w:t>
      </w:r>
      <w:r w:rsidRPr="00183EFE">
        <w:rPr>
          <w:rStyle w:val="normal10"/>
          <w:rFonts w:ascii="Verdana" w:hAnsi="Verdana"/>
          <w:i/>
          <w:iCs/>
          <w:sz w:val="20"/>
          <w:szCs w:val="20"/>
        </w:rPr>
        <w:t>rendin publik</w:t>
      </w:r>
      <w:r w:rsidRPr="00183EFE">
        <w:rPr>
          <w:rStyle w:val="normal10"/>
          <w:rFonts w:ascii="Verdana" w:hAnsi="Verdana"/>
          <w:sz w:val="20"/>
          <w:szCs w:val="20"/>
        </w:rPr>
        <w:t xml:space="preserve"> ose interesa të tjera thelbësore. </w:t>
      </w:r>
      <w:r w:rsidRPr="00183EFE">
        <w:rPr>
          <w:rFonts w:ascii="Verdana" w:hAnsi="Verdana"/>
          <w:sz w:val="20"/>
          <w:szCs w:val="20"/>
        </w:rPr>
        <w:t xml:space="preserve"> </w:t>
      </w:r>
    </w:p>
    <w:p w14:paraId="5ED3F4A6" w14:textId="77777777" w:rsidR="00627C6D" w:rsidRPr="00183EFE" w:rsidRDefault="00627C6D" w:rsidP="00183EFE">
      <w:pPr>
        <w:pStyle w:val="NormalWeb"/>
        <w:spacing w:before="120" w:beforeAutospacing="0" w:after="120" w:afterAutospacing="0" w:line="260" w:lineRule="atLeast"/>
        <w:jc w:val="center"/>
        <w:rPr>
          <w:rStyle w:val="Strong"/>
          <w:rFonts w:ascii="Verdana" w:hAnsi="Verdana" w:cs="Arial"/>
          <w:sz w:val="20"/>
          <w:szCs w:val="20"/>
        </w:rPr>
      </w:pPr>
    </w:p>
    <w:p w14:paraId="045D64F7" w14:textId="77777777" w:rsidR="00627C6D" w:rsidRPr="00183EFE" w:rsidRDefault="00627C6D" w:rsidP="00183EFE">
      <w:pPr>
        <w:pStyle w:val="NormalWeb"/>
        <w:spacing w:before="120" w:beforeAutospacing="0" w:after="120" w:afterAutospacing="0" w:line="260" w:lineRule="atLeast"/>
        <w:jc w:val="center"/>
        <w:rPr>
          <w:rFonts w:ascii="Verdana" w:hAnsi="Verdana"/>
          <w:sz w:val="20"/>
          <w:szCs w:val="20"/>
        </w:rPr>
      </w:pPr>
      <w:r w:rsidRPr="00183EFE">
        <w:rPr>
          <w:rStyle w:val="Strong"/>
          <w:rFonts w:ascii="Verdana" w:hAnsi="Verdana"/>
          <w:sz w:val="20"/>
          <w:szCs w:val="20"/>
        </w:rPr>
        <w:t>Neni 31 – Nd</w:t>
      </w:r>
      <w:r w:rsidR="004F6020" w:rsidRPr="00183EFE">
        <w:rPr>
          <w:rStyle w:val="Strong"/>
          <w:rFonts w:ascii="Verdana" w:hAnsi="Verdana"/>
          <w:sz w:val="20"/>
          <w:szCs w:val="20"/>
        </w:rPr>
        <w:t>ihma e ndërsjellë në lidhje me qas</w:t>
      </w:r>
      <w:r w:rsidRPr="00183EFE">
        <w:rPr>
          <w:rStyle w:val="Strong"/>
          <w:rFonts w:ascii="Verdana" w:hAnsi="Verdana"/>
          <w:sz w:val="20"/>
          <w:szCs w:val="20"/>
        </w:rPr>
        <w:t>jen në të dhënat kompjuterike të regjistruara</w:t>
      </w:r>
    </w:p>
    <w:p w14:paraId="0DF71759" w14:textId="77777777" w:rsidR="00627C6D" w:rsidRPr="00183EFE" w:rsidRDefault="00627C6D" w:rsidP="00183EFE">
      <w:pPr>
        <w:pStyle w:val="NormalWeb"/>
        <w:spacing w:before="120" w:beforeAutospacing="0" w:after="120" w:afterAutospacing="0" w:line="260" w:lineRule="atLeast"/>
        <w:jc w:val="both"/>
        <w:rPr>
          <w:rFonts w:ascii="Verdana" w:hAnsi="Verdana" w:cs="Arial"/>
          <w:sz w:val="20"/>
          <w:szCs w:val="20"/>
        </w:rPr>
      </w:pPr>
    </w:p>
    <w:p w14:paraId="5B476CF9"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1. </w:t>
      </w:r>
      <w:r w:rsidRPr="00183EFE">
        <w:rPr>
          <w:rStyle w:val="normal10"/>
          <w:rFonts w:ascii="Verdana" w:hAnsi="Verdana"/>
          <w:sz w:val="20"/>
          <w:szCs w:val="20"/>
        </w:rPr>
        <w:t>Njëra Palë mund t’i kërkojë Palës tjetër të kërkojë, hyjë, ngrijë ose sigurojë, në ndonjë mënyrë tjetër, dhe të njoftojë të dhënat e regjistruara nëpërmjet një sistemi kompjuterik që ndodhet brenda territorit të Palës pritëse, duke përfshirë të dhënat që janë ruajtur në pajtim me nenin 29.</w:t>
      </w:r>
      <w:r w:rsidRPr="00183EFE">
        <w:rPr>
          <w:rFonts w:ascii="Verdana" w:hAnsi="Verdana"/>
          <w:sz w:val="20"/>
          <w:szCs w:val="20"/>
        </w:rPr>
        <w:t xml:space="preserve"> </w:t>
      </w:r>
    </w:p>
    <w:p w14:paraId="5E2C7CC6"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2. </w:t>
      </w:r>
      <w:r w:rsidRPr="00183EFE">
        <w:rPr>
          <w:rStyle w:val="normal10"/>
          <w:rFonts w:ascii="Verdana" w:hAnsi="Verdana"/>
          <w:sz w:val="20"/>
          <w:szCs w:val="20"/>
        </w:rPr>
        <w:t xml:space="preserve">Pala </w:t>
      </w:r>
      <w:r w:rsidR="004F6020" w:rsidRPr="00183EFE">
        <w:rPr>
          <w:rStyle w:val="normal10"/>
          <w:rFonts w:ascii="Verdana" w:hAnsi="Verdana"/>
          <w:sz w:val="20"/>
          <w:szCs w:val="20"/>
        </w:rPr>
        <w:t>që merr kërkesën</w:t>
      </w:r>
      <w:r w:rsidRPr="00183EFE">
        <w:rPr>
          <w:rStyle w:val="normal10"/>
          <w:rFonts w:ascii="Verdana" w:hAnsi="Verdana"/>
          <w:sz w:val="20"/>
          <w:szCs w:val="20"/>
        </w:rPr>
        <w:t xml:space="preserve"> i përgjigjet kërkesës nëpërmjet zbatimit të instrumenteve ndërkombëtare, marrëveshjeve dhe ligjeve të përmendura në nenin 23 dhe në pajtim me dispozitat e tjera përkatëse të këtij kapitulli.</w:t>
      </w:r>
      <w:r w:rsidRPr="00183EFE">
        <w:rPr>
          <w:rFonts w:ascii="Verdana" w:hAnsi="Verdana"/>
          <w:sz w:val="20"/>
          <w:szCs w:val="20"/>
        </w:rPr>
        <w:t xml:space="preserve"> </w:t>
      </w:r>
    </w:p>
    <w:p w14:paraId="6BBB9C7B"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3. </w:t>
      </w:r>
      <w:r w:rsidRPr="00183EFE">
        <w:rPr>
          <w:rStyle w:val="normal10"/>
          <w:rFonts w:ascii="Verdana" w:hAnsi="Verdana"/>
          <w:sz w:val="20"/>
          <w:szCs w:val="20"/>
        </w:rPr>
        <w:t>Përgjigja e kërkesës duhet t’i jepet në mënyrë të përshpejtuar kur:</w:t>
      </w:r>
      <w:r w:rsidRPr="00183EFE">
        <w:rPr>
          <w:rFonts w:ascii="Verdana" w:hAnsi="Verdana"/>
          <w:sz w:val="20"/>
          <w:szCs w:val="20"/>
        </w:rPr>
        <w:t xml:space="preserve"> </w:t>
      </w:r>
    </w:p>
    <w:p w14:paraId="176F11BF"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a.) </w:t>
      </w:r>
      <w:r w:rsidRPr="00183EFE">
        <w:rPr>
          <w:rStyle w:val="normal10"/>
          <w:rFonts w:ascii="Verdana" w:hAnsi="Verdana"/>
          <w:sz w:val="20"/>
          <w:szCs w:val="20"/>
        </w:rPr>
        <w:t>ka arsye për të besuar se të dhënat përkatëse mund të humbin ose të modifikohen; ose</w:t>
      </w:r>
      <w:r w:rsidRPr="00183EFE">
        <w:rPr>
          <w:rFonts w:ascii="Verdana" w:hAnsi="Verdana"/>
          <w:sz w:val="20"/>
          <w:szCs w:val="20"/>
        </w:rPr>
        <w:t xml:space="preserve"> </w:t>
      </w:r>
    </w:p>
    <w:p w14:paraId="1B0897FE"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b.) </w:t>
      </w:r>
      <w:r w:rsidRPr="00183EFE">
        <w:rPr>
          <w:rStyle w:val="normal10"/>
          <w:rFonts w:ascii="Verdana" w:hAnsi="Verdana"/>
          <w:sz w:val="20"/>
          <w:szCs w:val="20"/>
        </w:rPr>
        <w:t>instrumentet, marrëveshjet dhe ligjet e përmendura në paragrafin 2 parashohin bashkëpunimin e përshpejtuar.</w:t>
      </w:r>
      <w:r w:rsidRPr="00183EFE">
        <w:rPr>
          <w:rFonts w:ascii="Verdana" w:hAnsi="Verdana"/>
          <w:sz w:val="20"/>
          <w:szCs w:val="20"/>
        </w:rPr>
        <w:t xml:space="preserve"> </w:t>
      </w:r>
    </w:p>
    <w:p w14:paraId="415B4B30" w14:textId="77777777" w:rsidR="00627C6D" w:rsidRPr="00183EFE" w:rsidRDefault="00627C6D" w:rsidP="00183EFE">
      <w:pPr>
        <w:pStyle w:val="NormalWeb"/>
        <w:spacing w:before="120" w:beforeAutospacing="0" w:after="120" w:afterAutospacing="0" w:line="260" w:lineRule="atLeast"/>
        <w:jc w:val="center"/>
        <w:rPr>
          <w:rFonts w:ascii="Verdana" w:hAnsi="Verdana"/>
          <w:sz w:val="20"/>
          <w:szCs w:val="20"/>
        </w:rPr>
      </w:pPr>
      <w:r w:rsidRPr="00183EFE">
        <w:rPr>
          <w:rStyle w:val="Strong"/>
          <w:rFonts w:ascii="Verdana" w:hAnsi="Verdana"/>
          <w:sz w:val="20"/>
          <w:szCs w:val="20"/>
        </w:rPr>
        <w:lastRenderedPageBreak/>
        <w:t>Neni 35 – 24/7 Rrjeti</w:t>
      </w:r>
    </w:p>
    <w:p w14:paraId="66604435" w14:textId="77777777" w:rsidR="00627C6D" w:rsidRPr="00183EFE" w:rsidRDefault="00627C6D" w:rsidP="00183EFE">
      <w:pPr>
        <w:pStyle w:val="NormalWeb"/>
        <w:spacing w:before="120" w:beforeAutospacing="0" w:after="120" w:afterAutospacing="0" w:line="260" w:lineRule="atLeast"/>
        <w:jc w:val="both"/>
        <w:rPr>
          <w:rFonts w:ascii="Verdana" w:hAnsi="Verdana" w:cs="Arial"/>
          <w:sz w:val="20"/>
          <w:szCs w:val="20"/>
        </w:rPr>
      </w:pPr>
    </w:p>
    <w:p w14:paraId="162581F1"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1. </w:t>
      </w:r>
      <w:r w:rsidRPr="00183EFE">
        <w:rPr>
          <w:rStyle w:val="normal10"/>
          <w:rFonts w:ascii="Verdana" w:hAnsi="Verdana"/>
          <w:sz w:val="20"/>
          <w:szCs w:val="20"/>
        </w:rPr>
        <w:t>Secila Palë cakton një pikë kontakti që të punojë 24 orë, 7 ditë në javë me qëllim që të sigurohet dhënia e ndihmës së menjëhershme për qëllimet e hetimeve ose gjykimeve për veprat penale në lidhje me sistemet dhe të dhënat kompjuterike ose për marrjen e provave në formë elektronike për një vepër penale. Një ndihmesë e tillë përfshin lehtësimin, ose kur është e lejuar nga ligji dhe praktika vendase, duke ndërmarrë masat në vijim.</w:t>
      </w:r>
      <w:r w:rsidRPr="00183EFE">
        <w:rPr>
          <w:rFonts w:ascii="Verdana" w:hAnsi="Verdana"/>
          <w:sz w:val="20"/>
          <w:szCs w:val="20"/>
        </w:rPr>
        <w:t xml:space="preserve"> </w:t>
      </w:r>
    </w:p>
    <w:p w14:paraId="37F6C87A"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a.) </w:t>
      </w:r>
      <w:r w:rsidRPr="00183EFE">
        <w:rPr>
          <w:rStyle w:val="normal10"/>
          <w:rFonts w:ascii="Verdana" w:hAnsi="Verdana"/>
          <w:sz w:val="20"/>
          <w:szCs w:val="20"/>
        </w:rPr>
        <w:t>ofrimin e këshillave teknike;</w:t>
      </w:r>
      <w:r w:rsidRPr="00183EFE">
        <w:rPr>
          <w:rFonts w:ascii="Verdana" w:hAnsi="Verdana"/>
          <w:sz w:val="20"/>
          <w:szCs w:val="20"/>
        </w:rPr>
        <w:t xml:space="preserve"> </w:t>
      </w:r>
    </w:p>
    <w:p w14:paraId="1175C691"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b.) </w:t>
      </w:r>
      <w:r w:rsidRPr="00183EFE">
        <w:rPr>
          <w:rStyle w:val="normal10"/>
          <w:rFonts w:ascii="Verdana" w:hAnsi="Verdana"/>
          <w:sz w:val="20"/>
          <w:szCs w:val="20"/>
        </w:rPr>
        <w:t>ruajtjen e të dhënave në pajtim me nenet 29 dhe 30;</w:t>
      </w:r>
      <w:r w:rsidRPr="00183EFE">
        <w:rPr>
          <w:rFonts w:ascii="Verdana" w:hAnsi="Verdana"/>
          <w:sz w:val="20"/>
          <w:szCs w:val="20"/>
        </w:rPr>
        <w:t xml:space="preserve"> </w:t>
      </w:r>
    </w:p>
    <w:p w14:paraId="6E4F5EC6"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c.) </w:t>
      </w:r>
      <w:r w:rsidRPr="00183EFE">
        <w:rPr>
          <w:rStyle w:val="normal10"/>
          <w:rFonts w:ascii="Verdana" w:hAnsi="Verdana"/>
          <w:sz w:val="20"/>
          <w:szCs w:val="20"/>
        </w:rPr>
        <w:t>marrjen e provave, duke dhënë informacion ligjor dhe vendndodhjen e personave të dyshuar.</w:t>
      </w:r>
      <w:r w:rsidRPr="00183EFE">
        <w:rPr>
          <w:rFonts w:ascii="Verdana" w:hAnsi="Verdana"/>
          <w:sz w:val="20"/>
          <w:szCs w:val="20"/>
        </w:rPr>
        <w:t xml:space="preserve"> </w:t>
      </w:r>
    </w:p>
    <w:p w14:paraId="75F3B14F"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2. a. </w:t>
      </w:r>
      <w:r w:rsidRPr="00183EFE">
        <w:rPr>
          <w:rStyle w:val="normal10"/>
          <w:rFonts w:ascii="Verdana" w:hAnsi="Verdana"/>
          <w:sz w:val="20"/>
          <w:szCs w:val="20"/>
        </w:rPr>
        <w:t>Pika e kontaktit të një Pale ka kapacitetin e bërjes së njoftimeve drejtuar pikës së kontaktit të një Pale tjetër mbi një bazë të përshpejtuar.</w:t>
      </w:r>
      <w:r w:rsidRPr="00183EFE">
        <w:rPr>
          <w:rFonts w:ascii="Verdana" w:hAnsi="Verdana"/>
          <w:sz w:val="20"/>
          <w:szCs w:val="20"/>
        </w:rPr>
        <w:t xml:space="preserve"> </w:t>
      </w:r>
    </w:p>
    <w:p w14:paraId="20E62CBF"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b. </w:t>
      </w:r>
      <w:r w:rsidRPr="00183EFE">
        <w:rPr>
          <w:rStyle w:val="normal10"/>
          <w:rFonts w:ascii="Verdana" w:hAnsi="Verdana"/>
          <w:sz w:val="20"/>
          <w:szCs w:val="20"/>
        </w:rPr>
        <w:t>Nëse pika e kontaktit e caktuar nga njëra Palë nuk është pjesë e organit ose organeve të Palës kompetente për dhënien e ndihmës së ndërsjellë ndërkombëtare ose për ekstradimin, pika e kontaktit duhet të sigurojë që ajo të jetë e aftë të koordinojë me organin ose organet përkatëse mbi një bazë të përshpejtuar.</w:t>
      </w:r>
      <w:r w:rsidRPr="00183EFE">
        <w:rPr>
          <w:rFonts w:ascii="Verdana" w:hAnsi="Verdana"/>
          <w:sz w:val="20"/>
          <w:szCs w:val="20"/>
        </w:rPr>
        <w:t xml:space="preserve"> </w:t>
      </w:r>
    </w:p>
    <w:p w14:paraId="394F5768" w14:textId="77777777" w:rsidR="00627C6D" w:rsidRPr="00183EFE" w:rsidRDefault="00627C6D" w:rsidP="00183EFE">
      <w:pPr>
        <w:pStyle w:val="NormalWeb"/>
        <w:spacing w:before="120" w:beforeAutospacing="0" w:after="120" w:afterAutospacing="0" w:line="260" w:lineRule="atLeast"/>
        <w:jc w:val="both"/>
        <w:rPr>
          <w:rFonts w:ascii="Verdana" w:hAnsi="Verdana"/>
          <w:sz w:val="20"/>
          <w:szCs w:val="20"/>
        </w:rPr>
      </w:pPr>
      <w:r w:rsidRPr="00183EFE">
        <w:rPr>
          <w:rFonts w:ascii="Verdana" w:hAnsi="Verdana"/>
          <w:sz w:val="20"/>
          <w:szCs w:val="20"/>
        </w:rPr>
        <w:t xml:space="preserve">3. </w:t>
      </w:r>
      <w:r w:rsidRPr="00183EFE">
        <w:rPr>
          <w:rStyle w:val="normal10"/>
          <w:rFonts w:ascii="Verdana" w:hAnsi="Verdana"/>
          <w:sz w:val="20"/>
          <w:szCs w:val="20"/>
        </w:rPr>
        <w:t>Secila Palë siguron që të vërë në dispozicion personel të kualifikuar dhe të pajisur me qëllim që të lehtësojë bashkëpunimin e rrjetit.</w:t>
      </w:r>
      <w:r w:rsidRPr="00183EFE">
        <w:rPr>
          <w:rFonts w:ascii="Verdana" w:hAnsi="Verdana"/>
          <w:sz w:val="20"/>
          <w:szCs w:val="20"/>
        </w:rPr>
        <w:t xml:space="preserve"> </w:t>
      </w:r>
    </w:p>
    <w:sectPr w:rsidR="00627C6D" w:rsidRPr="00183EFE" w:rsidSect="002B31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8077E"/>
    <w:multiLevelType w:val="hybridMultilevel"/>
    <w:tmpl w:val="3CE20E60"/>
    <w:lvl w:ilvl="0" w:tplc="422C21B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E79B8"/>
    <w:multiLevelType w:val="hybridMultilevel"/>
    <w:tmpl w:val="3F6EC172"/>
    <w:lvl w:ilvl="0" w:tplc="02388ED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07967"/>
    <w:rsid w:val="00183EFE"/>
    <w:rsid w:val="002B319E"/>
    <w:rsid w:val="002B663B"/>
    <w:rsid w:val="004F6020"/>
    <w:rsid w:val="00627C6D"/>
    <w:rsid w:val="00707967"/>
    <w:rsid w:val="00CC07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C8EE"/>
  <w15:docId w15:val="{85B27726-493C-4314-BEA1-85BB1B07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C6D"/>
    <w:pPr>
      <w:spacing w:after="0" w:line="260" w:lineRule="atLeast"/>
      <w:jc w:val="both"/>
    </w:pPr>
    <w:rPr>
      <w:rFonts w:ascii="Verdana" w:eastAsia="Times New Roman" w:hAnsi="Verdan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7C6D"/>
    <w:pPr>
      <w:spacing w:before="100" w:beforeAutospacing="1" w:after="100" w:afterAutospacing="1" w:line="240" w:lineRule="auto"/>
      <w:jc w:val="left"/>
    </w:pPr>
    <w:rPr>
      <w:rFonts w:ascii="Times New Roman" w:hAnsi="Times New Roman"/>
      <w:sz w:val="24"/>
    </w:rPr>
  </w:style>
  <w:style w:type="character" w:styleId="Strong">
    <w:name w:val="Strong"/>
    <w:basedOn w:val="DefaultParagraphFont"/>
    <w:uiPriority w:val="22"/>
    <w:qFormat/>
    <w:rsid w:val="00627C6D"/>
    <w:rPr>
      <w:b/>
      <w:bCs/>
    </w:rPr>
  </w:style>
  <w:style w:type="character" w:customStyle="1" w:styleId="normal10">
    <w:name w:val="normal10"/>
    <w:basedOn w:val="DefaultParagraphFont"/>
    <w:rsid w:val="00627C6D"/>
  </w:style>
  <w:style w:type="character" w:styleId="Emphasis">
    <w:name w:val="Emphasis"/>
    <w:basedOn w:val="DefaultParagraphFont"/>
    <w:uiPriority w:val="20"/>
    <w:qFormat/>
    <w:rsid w:val="00627C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22117">
      <w:bodyDiv w:val="1"/>
      <w:marLeft w:val="0"/>
      <w:marRight w:val="0"/>
      <w:marTop w:val="0"/>
      <w:marBottom w:val="0"/>
      <w:divBdr>
        <w:top w:val="none" w:sz="0" w:space="0" w:color="auto"/>
        <w:left w:val="none" w:sz="0" w:space="0" w:color="auto"/>
        <w:bottom w:val="none" w:sz="0" w:space="0" w:color="auto"/>
        <w:right w:val="none" w:sz="0" w:space="0" w:color="auto"/>
      </w:divBdr>
    </w:div>
    <w:div w:id="915361623">
      <w:bodyDiv w:val="1"/>
      <w:marLeft w:val="0"/>
      <w:marRight w:val="0"/>
      <w:marTop w:val="0"/>
      <w:marBottom w:val="0"/>
      <w:divBdr>
        <w:top w:val="none" w:sz="0" w:space="0" w:color="auto"/>
        <w:left w:val="none" w:sz="0" w:space="0" w:color="auto"/>
        <w:bottom w:val="none" w:sz="0" w:space="0" w:color="auto"/>
        <w:right w:val="none" w:sz="0" w:space="0" w:color="auto"/>
      </w:divBdr>
    </w:div>
    <w:div w:id="1533493057">
      <w:bodyDiv w:val="1"/>
      <w:marLeft w:val="0"/>
      <w:marRight w:val="0"/>
      <w:marTop w:val="0"/>
      <w:marBottom w:val="0"/>
      <w:divBdr>
        <w:top w:val="none" w:sz="0" w:space="0" w:color="auto"/>
        <w:left w:val="none" w:sz="0" w:space="0" w:color="auto"/>
        <w:bottom w:val="none" w:sz="0" w:space="0" w:color="auto"/>
        <w:right w:val="none" w:sz="0" w:space="0" w:color="auto"/>
      </w:divBdr>
    </w:div>
    <w:div w:id="184563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B.Stam</dc:creator>
  <cp:keywords/>
  <dc:description/>
  <cp:lastModifiedBy>CEAUSU Diana</cp:lastModifiedBy>
  <cp:revision>5</cp:revision>
  <dcterms:created xsi:type="dcterms:W3CDTF">2017-03-05T13:06:00Z</dcterms:created>
  <dcterms:modified xsi:type="dcterms:W3CDTF">2021-05-04T12:32:00Z</dcterms:modified>
</cp:coreProperties>
</file>