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77A6" w14:textId="77777777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b/>
          <w:i/>
          <w:sz w:val="20"/>
          <w:szCs w:val="20"/>
        </w:rPr>
        <w:t>Kurs i Specializuar Gjyqësor për Bashkëpunimin Ndërkombëtar</w:t>
      </w:r>
    </w:p>
    <w:p w14:paraId="1152C3B2" w14:textId="01BD838D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</w:p>
    <w:p w14:paraId="2F2A3379" w14:textId="5E6C657A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b/>
          <w:sz w:val="20"/>
          <w:szCs w:val="20"/>
        </w:rPr>
        <w:t>Sesioni 2.3</w:t>
      </w:r>
    </w:p>
    <w:p w14:paraId="01056675" w14:textId="1D31057F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E45FC0">
        <w:rPr>
          <w:rFonts w:ascii="Verdana" w:hAnsi="Verdana"/>
          <w:b/>
          <w:sz w:val="20"/>
          <w:szCs w:val="20"/>
        </w:rPr>
        <w:t>Zbatimi i marrjes së provave elektronike përmes mekanizmave të bashkëpunimit ndërkombëtar</w:t>
      </w:r>
    </w:p>
    <w:p w14:paraId="7CACA5A3" w14:textId="065B4984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7720049F" w14:textId="5670B8E3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E45FC0">
        <w:rPr>
          <w:rFonts w:ascii="Verdana" w:hAnsi="Verdana"/>
          <w:b/>
          <w:sz w:val="20"/>
          <w:szCs w:val="20"/>
        </w:rPr>
        <w:t>WolfJ Studger - Pyetjet e Rastit Studimor</w:t>
      </w:r>
    </w:p>
    <w:p w14:paraId="7CC9CC93" w14:textId="64BA240D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54060247" w14:textId="05924BCB" w:rsidR="00EF30BF" w:rsidRPr="00E45FC0" w:rsidRDefault="00EF30BF" w:rsidP="00E45FC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312435E7" w14:textId="21CEC9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iCs/>
          <w:sz w:val="20"/>
          <w:szCs w:val="20"/>
        </w:rPr>
        <w:t>Cilat janë drejtimet kryesore të hetimit</w:t>
      </w:r>
      <w:r w:rsidRPr="00E45FC0">
        <w:rPr>
          <w:rFonts w:ascii="Verdana" w:hAnsi="Verdana"/>
          <w:sz w:val="20"/>
          <w:szCs w:val="20"/>
        </w:rPr>
        <w:t>?</w:t>
      </w:r>
    </w:p>
    <w:p w14:paraId="76FAD3DA" w14:textId="18241AAE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Identifikimi i të gjitha ose sa më shumë viktimave të jetë e mundur, marrja e provave elektronike nga kompjuterët e tyre - veçanërisht trafiku në internet, marrja e regjistrave të transaksioneve bankare, planifikimi i ndihmës juridike të ndërsjellë.</w:t>
      </w:r>
    </w:p>
    <w:p w14:paraId="09E94635" w14:textId="55371161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55349CBC" w14:textId="69D37B68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Çfarë duhet të hetohet së pari</w:t>
      </w:r>
      <w:r w:rsidRPr="00E45FC0">
        <w:rPr>
          <w:rFonts w:ascii="Verdana" w:hAnsi="Verdana"/>
          <w:sz w:val="20"/>
          <w:szCs w:val="20"/>
        </w:rPr>
        <w:t>?</w:t>
      </w:r>
    </w:p>
    <w:p w14:paraId="2B464601" w14:textId="79E475A9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Identifikimi i adresave IP të personave që kanë mashtruar viktimat.</w:t>
      </w:r>
    </w:p>
    <w:p w14:paraId="713221C4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5E6DC385" w14:textId="0389F37C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A ka ndonjë lloj urgjence të lidhur me ndonjë pjesë të hetimit?</w:t>
      </w:r>
    </w:p>
    <w:p w14:paraId="5E4E9092" w14:textId="1E78E8C4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Po, pasi nuk është e sigurt për sa kohë të dhënat / provat elektronike do të ruhen.</w:t>
      </w:r>
    </w:p>
    <w:p w14:paraId="1F8677E7" w14:textId="04B2A473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396F97E5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Çfarë lloj kërkesash do të dërgojë Prokurori / Gjyqtari Hetues</w:t>
      </w:r>
      <w:r w:rsidRPr="00E45FC0">
        <w:rPr>
          <w:rFonts w:ascii="Verdana" w:hAnsi="Verdana"/>
          <w:sz w:val="20"/>
          <w:szCs w:val="20"/>
        </w:rPr>
        <w:t>?</w:t>
      </w:r>
    </w:p>
    <w:p w14:paraId="0FB4BEFC" w14:textId="092309DB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 w:cstheme="minorHAnsi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Përgjigje: </w:t>
      </w:r>
      <w:r w:rsidRPr="00E45FC0">
        <w:rPr>
          <w:rFonts w:ascii="Verdana" w:hAnsi="Verdana"/>
          <w:color w:val="161616"/>
          <w:sz w:val="20"/>
          <w:szCs w:val="20"/>
        </w:rPr>
        <w:t>Neni 29 - Ruajtja e përshpejtuar e të dhënave të ruajtura kompjuterike, neni 31 - Ndihma e ndërsjellë në lidhje me qasjen në të dhënat e ruajtura kompjuterike</w:t>
      </w:r>
    </w:p>
    <w:p w14:paraId="04E68386" w14:textId="240F9261" w:rsidR="00D10509" w:rsidRPr="00E45FC0" w:rsidRDefault="00D10509" w:rsidP="00E45FC0">
      <w:pPr>
        <w:spacing w:before="120" w:after="120" w:line="260" w:lineRule="atLeast"/>
        <w:rPr>
          <w:rFonts w:ascii="Verdana" w:eastAsia="Times New Roman" w:hAnsi="Verdana" w:cs="Times New Roman"/>
          <w:sz w:val="20"/>
          <w:szCs w:val="20"/>
        </w:rPr>
      </w:pPr>
    </w:p>
    <w:p w14:paraId="7D6637FC" w14:textId="7AB5D0CB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Kujt do t’i dërgohen kërkesat</w:t>
      </w:r>
      <w:r w:rsidRPr="00E45FC0">
        <w:rPr>
          <w:rFonts w:ascii="Verdana" w:hAnsi="Verdana"/>
          <w:sz w:val="20"/>
          <w:szCs w:val="20"/>
        </w:rPr>
        <w:t>?</w:t>
      </w:r>
    </w:p>
    <w:p w14:paraId="2C17E758" w14:textId="3E4053F0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Bullgarisë, Republikës Çeke, Serbisë</w:t>
      </w:r>
    </w:p>
    <w:p w14:paraId="44E0F5A1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557EBD53" w14:textId="10DF7B44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iCs/>
          <w:sz w:val="20"/>
          <w:szCs w:val="20"/>
        </w:rPr>
        <w:t>Cilat fakte dhe veprime do të kërkohen?</w:t>
      </w:r>
    </w:p>
    <w:p w14:paraId="26C05A7B" w14:textId="2D656C08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Cilët ofrues ISP kanë qenë host të adresave IP të autorëve, identifikimi i përdoruesve të kontratave të adresave IP, identifikimi i të dyshuarve të mundshëm, mundësia për fillimin e hetimit financiar, kërkimi dhe sekuestrimi i lokaleve dhe objekteve, marrja në pyetje e të dyshuarve dhe marrja në pyetje e dëshmitarëve, sekuestrimi i pasurisë së jashtëligjshme. Fakte dhe veprime tjera mund të shtohen nga pjesëmarrësit</w:t>
      </w:r>
    </w:p>
    <w:p w14:paraId="17C71CB2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7A31FFE0" w14:textId="2B4881C8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Çfarë provash do të kërkohen</w:t>
      </w:r>
      <w:r w:rsidRPr="00E45FC0">
        <w:rPr>
          <w:rFonts w:ascii="Verdana" w:hAnsi="Verdana"/>
          <w:sz w:val="20"/>
          <w:szCs w:val="20"/>
        </w:rPr>
        <w:t>?</w:t>
      </w:r>
    </w:p>
    <w:p w14:paraId="17A79A38" w14:textId="1E4848F1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lastRenderedPageBreak/>
        <w:t>Përgjigje: Regjistrimet dhe kontratat IP të ISP-së, kopjet / pasqyrat / klonet e hard disqeve nga kompjuterët e përdorur nga "ndërmjetësit" dhe "menaxhmenti", regjistrimet nga veprimet e kontrollit dhe konfiskimit, raportet paraprake të ekspertëve, analiza e lidhjeve të bazës së të dhënave për ndërmjetësimin e viktimës-menaxherit, komunikimi dhe shkëmbimi, analiza e mënyrës se si manipulohen llogaritë e investimeve të viktimave, të dhënat nga marrjet në pyetje dhe pyetjet, regjistrat bankarë dhe urdhrat e transferimit, kontrolli i pasurisë. Provat shtesë mund të sugjerohen nga pjesëmarrësit.</w:t>
      </w:r>
    </w:p>
    <w:p w14:paraId="1BDA368C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6B3235B3" w14:textId="3079139C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A ka nevojë për ndonjë veprim të veçantë hetimor</w:t>
      </w:r>
      <w:r w:rsidRPr="00E45FC0">
        <w:rPr>
          <w:rFonts w:ascii="Verdana" w:hAnsi="Verdana"/>
          <w:sz w:val="20"/>
          <w:szCs w:val="20"/>
        </w:rPr>
        <w:t>?</w:t>
      </w:r>
    </w:p>
    <w:p w14:paraId="2FF202A4" w14:textId="03490BFF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Jo, nëse vazhdimi i veprimeve mashtruese nuk zbulohet.</w:t>
      </w:r>
    </w:p>
    <w:p w14:paraId="245DF0FB" w14:textId="42F2A1A1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663EA81E" w14:textId="4DB44E5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Cilat veprime do të kërkohen nga AZL / Prokuroria / Gjyqtari Hetues i huaj</w:t>
      </w:r>
      <w:r w:rsidRPr="00E45FC0">
        <w:rPr>
          <w:rFonts w:ascii="Verdana" w:hAnsi="Verdana"/>
          <w:sz w:val="20"/>
          <w:szCs w:val="20"/>
        </w:rPr>
        <w:t>?</w:t>
      </w:r>
    </w:p>
    <w:p w14:paraId="192E424A" w14:textId="005CA2AB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Garanci për ISP-në, kompanitë, bankat dhe subjektet e tjera që mbajnë të dhëna, ruajtjen, kontrollin dhe sekuestrimin e objekteve, arrestimet, marrjet në pyetje dhe pyetjet, ndoshta lejen për praninë e autoriteteve të vendit kërkues gjatë ndërmarrjes së disa veprimeve, ngrirjen e pasurive, fillimin e hetimit financiar, identifikimin e pistave të mundshme shtesë. Veprime të tjera.</w:t>
      </w:r>
    </w:p>
    <w:p w14:paraId="7CD91C6F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0CC46C5B" w14:textId="0E742A40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Si do të përcaktojë prokurori / gjyqtari hetues kujt, si dhe çfarë duhet dërguar?</w:t>
      </w:r>
    </w:p>
    <w:p w14:paraId="19858C5B" w14:textId="789903B2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Degëzimi i veprimeve fillon nga identifikimi i adresave IP dhe përdoruesve të tyre në kohën e kryerjes. Pjesëmarrësit duhet të shpjegojnë se si do ta bënin atë në përputhje me Konventën e Budapestit dhe rregullat lokale.</w:t>
      </w:r>
    </w:p>
    <w:p w14:paraId="77FB8018" w14:textId="066E1182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667D9049" w14:textId="54BB96A0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A ka arsye për fillimin e Hetimit Financiar?</w:t>
      </w:r>
    </w:p>
    <w:p w14:paraId="15992D62" w14:textId="1235F688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Po, pasi ka arsye për dyshim të arsyeshëm se paratë dhe mallrat rrjedhin nga aktiviteti kriminal. Vendi kërkues raporton dëmet e mundshme në miliona Euro.</w:t>
      </w:r>
    </w:p>
    <w:p w14:paraId="3B3F708F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7A152751" w14:textId="36F71682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Cilat janë hapat dhe / ose masat / veprimet e tjera që duhet të ndërmerren?</w:t>
      </w:r>
    </w:p>
    <w:p w14:paraId="402743EE" w14:textId="5C8B080E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përgjigja varet nga përgjigjet e mëparshme</w:t>
      </w:r>
    </w:p>
    <w:p w14:paraId="3FBF15E0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</w:rPr>
      </w:pPr>
    </w:p>
    <w:p w14:paraId="189256B9" w14:textId="4A48F34B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i/>
          <w:iCs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 xml:space="preserve">Pyetje: </w:t>
      </w:r>
      <w:r w:rsidRPr="00E45FC0">
        <w:rPr>
          <w:rFonts w:ascii="Verdana" w:hAnsi="Verdana"/>
          <w:i/>
          <w:sz w:val="20"/>
          <w:szCs w:val="20"/>
        </w:rPr>
        <w:t>A ka diçka tjetër që do të bënit në vendin tuaj?</w:t>
      </w:r>
    </w:p>
    <w:p w14:paraId="6BAA5CCF" w14:textId="612F9331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  <w:r w:rsidRPr="00E45FC0">
        <w:rPr>
          <w:rFonts w:ascii="Verdana" w:hAnsi="Verdana"/>
          <w:sz w:val="20"/>
          <w:szCs w:val="20"/>
        </w:rPr>
        <w:t>Përgjigje: Pjesëmarrësit duhet të ftohen të marrin pjesë aktivisht në ofrimin e përgjigjeve.</w:t>
      </w:r>
    </w:p>
    <w:p w14:paraId="712F832A" w14:textId="77777777" w:rsidR="00D10509" w:rsidRPr="00E45FC0" w:rsidRDefault="00D10509" w:rsidP="00E45FC0">
      <w:pPr>
        <w:spacing w:before="120" w:after="120" w:line="260" w:lineRule="atLeast"/>
        <w:ind w:left="360"/>
        <w:jc w:val="both"/>
        <w:rPr>
          <w:rFonts w:ascii="Verdana" w:hAnsi="Verdana"/>
          <w:sz w:val="20"/>
          <w:szCs w:val="20"/>
        </w:rPr>
      </w:pPr>
    </w:p>
    <w:p w14:paraId="3DC31617" w14:textId="3D71CF08" w:rsidR="005269F5" w:rsidRPr="00E45FC0" w:rsidRDefault="00E45FC0" w:rsidP="00E45FC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sectPr w:rsidR="005269F5" w:rsidRPr="00E45FC0" w:rsidSect="0025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C5698"/>
    <w:multiLevelType w:val="hybridMultilevel"/>
    <w:tmpl w:val="98B02EA4"/>
    <w:lvl w:ilvl="0" w:tplc="C5747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21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A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EA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C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2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89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A1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961D4D"/>
    <w:multiLevelType w:val="hybridMultilevel"/>
    <w:tmpl w:val="A734EFF2"/>
    <w:lvl w:ilvl="0" w:tplc="A406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CC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5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8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5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A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88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0B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922325"/>
    <w:multiLevelType w:val="hybridMultilevel"/>
    <w:tmpl w:val="F880127C"/>
    <w:lvl w:ilvl="0" w:tplc="9894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A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2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8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6A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84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0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2B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7800BF"/>
    <w:multiLevelType w:val="hybridMultilevel"/>
    <w:tmpl w:val="880A5AAE"/>
    <w:lvl w:ilvl="0" w:tplc="181C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0B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1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2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A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C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64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F12598"/>
    <w:multiLevelType w:val="hybridMultilevel"/>
    <w:tmpl w:val="EA985AD4"/>
    <w:lvl w:ilvl="0" w:tplc="DFAC8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AD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2B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B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C8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AC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521C76"/>
    <w:multiLevelType w:val="hybridMultilevel"/>
    <w:tmpl w:val="26DE9E9A"/>
    <w:lvl w:ilvl="0" w:tplc="1E3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A6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CF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B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46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6B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6C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A82CDC"/>
    <w:multiLevelType w:val="hybridMultilevel"/>
    <w:tmpl w:val="405218D8"/>
    <w:lvl w:ilvl="0" w:tplc="5E66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C5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6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F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C6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2D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A0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4E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41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BF"/>
    <w:rsid w:val="0025115F"/>
    <w:rsid w:val="00520C3D"/>
    <w:rsid w:val="005F60A2"/>
    <w:rsid w:val="00D10509"/>
    <w:rsid w:val="00E45FC0"/>
    <w:rsid w:val="00E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32D0"/>
  <w15:chartTrackingRefBased/>
  <w15:docId w15:val="{F78A0DE8-7265-3748-A188-3256FFE7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BF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10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Stam</dc:creator>
  <cp:keywords/>
  <dc:description/>
  <cp:lastModifiedBy>CEAUSU Diana</cp:lastModifiedBy>
  <cp:revision>3</cp:revision>
  <dcterms:created xsi:type="dcterms:W3CDTF">2020-09-19T15:35:00Z</dcterms:created>
  <dcterms:modified xsi:type="dcterms:W3CDTF">2021-05-04T12:34:00Z</dcterms:modified>
</cp:coreProperties>
</file>