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98724" w14:textId="2B348ABB" w:rsidR="00BA319A" w:rsidRPr="00C23C86" w:rsidRDefault="00F22F9E" w:rsidP="00C23C86">
      <w:pPr>
        <w:spacing w:before="120" w:after="120" w:line="260" w:lineRule="atLeast"/>
        <w:rPr>
          <w:rFonts w:ascii="Verdana" w:hAnsi="Verdana"/>
          <w:b/>
          <w:bCs/>
          <w:color w:val="000000" w:themeColor="text1"/>
          <w:sz w:val="28"/>
          <w:szCs w:val="28"/>
        </w:rPr>
      </w:pPr>
      <w:r w:rsidRPr="00C23C86">
        <w:rPr>
          <w:rFonts w:ascii="Verdana" w:hAnsi="Verdana"/>
          <w:b/>
          <w:bCs/>
          <w:sz w:val="28"/>
          <w:szCs w:val="28"/>
          <w:lang w:val="mk-MK"/>
        </w:rPr>
        <w:t>Лекција 2.3 Користење на стекнување електронски докази преку механизми за меѓународна соработка</w:t>
      </w:r>
      <w:r w:rsidR="00BA319A" w:rsidRPr="00C23C86">
        <w:rPr>
          <w:rFonts w:ascii="Verdana" w:hAnsi="Verdana"/>
          <w:b/>
          <w:bCs/>
          <w:color w:val="000000" w:themeColor="text1"/>
          <w:sz w:val="28"/>
          <w:szCs w:val="28"/>
          <w:lang w:val="en-PH"/>
        </w:rPr>
        <w:t xml:space="preserve"> </w:t>
      </w:r>
    </w:p>
    <w:p w14:paraId="1D0E3DC5" w14:textId="14C23F0E" w:rsidR="00C115FC" w:rsidRPr="00C23C86" w:rsidRDefault="00C115FC" w:rsidP="00C23C86">
      <w:pPr>
        <w:spacing w:before="120" w:after="120" w:line="260" w:lineRule="atLeast"/>
        <w:rPr>
          <w:rFonts w:ascii="Verdana" w:hAnsi="Verdan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5320"/>
        <w:gridCol w:w="2165"/>
      </w:tblGrid>
      <w:tr w:rsidR="00C115FC" w:rsidRPr="00C23C86" w14:paraId="58A3485E" w14:textId="77777777" w:rsidTr="00F1574D">
        <w:trPr>
          <w:trHeight w:val="872"/>
        </w:trPr>
        <w:tc>
          <w:tcPr>
            <w:tcW w:w="6845" w:type="dxa"/>
            <w:gridSpan w:val="2"/>
            <w:shd w:val="clear" w:color="auto" w:fill="DEEAF6" w:themeFill="accent5" w:themeFillTint="33"/>
            <w:vAlign w:val="center"/>
          </w:tcPr>
          <w:p w14:paraId="34338673" w14:textId="19BAF9E8" w:rsidR="00BA319A" w:rsidRPr="00C23C86" w:rsidRDefault="00F22F9E" w:rsidP="00C23C86">
            <w:pPr>
              <w:spacing w:before="120" w:after="120" w:line="260" w:lineRule="atLeast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C23C86">
              <w:rPr>
                <w:rFonts w:ascii="Verdana" w:hAnsi="Verdana"/>
                <w:sz w:val="22"/>
                <w:szCs w:val="22"/>
                <w:lang w:val="mk-MK"/>
              </w:rPr>
              <w:t>Лекција 2.3 Користење на стекнување електронски докази преку механизми за меѓународна соработка</w:t>
            </w:r>
            <w:r w:rsidR="00BA319A" w:rsidRPr="00C23C86">
              <w:rPr>
                <w:rFonts w:ascii="Verdana" w:hAnsi="Verdana"/>
                <w:color w:val="000000" w:themeColor="text1"/>
                <w:sz w:val="22"/>
                <w:szCs w:val="22"/>
                <w:lang w:val="en-PH"/>
              </w:rPr>
              <w:t xml:space="preserve"> </w:t>
            </w:r>
          </w:p>
          <w:p w14:paraId="0067FF35" w14:textId="37B9BDEC" w:rsidR="00D82C18" w:rsidRPr="00C23C86" w:rsidRDefault="00D82C18" w:rsidP="00C23C86">
            <w:pPr>
              <w:spacing w:before="120" w:after="120" w:line="26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DEEAF6" w:themeFill="accent5" w:themeFillTint="33"/>
            <w:vAlign w:val="center"/>
          </w:tcPr>
          <w:p w14:paraId="30B631DA" w14:textId="0FD0B0D2" w:rsidR="00D82C18" w:rsidRPr="00C23C86" w:rsidRDefault="00F22F9E" w:rsidP="00C23C86">
            <w:pPr>
              <w:spacing w:before="120" w:after="120" w:line="260" w:lineRule="atLeast"/>
              <w:rPr>
                <w:rFonts w:ascii="Verdana" w:hAnsi="Verdana"/>
                <w:sz w:val="22"/>
                <w:szCs w:val="22"/>
              </w:rPr>
            </w:pPr>
            <w:r w:rsidRPr="00C23C86">
              <w:rPr>
                <w:rFonts w:ascii="Verdana" w:hAnsi="Verdana"/>
                <w:sz w:val="22"/>
                <w:szCs w:val="22"/>
                <w:lang w:val="mk-MK"/>
              </w:rPr>
              <w:t>Времетраење:</w:t>
            </w:r>
            <w:r w:rsidR="00D82C18" w:rsidRPr="00C23C86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C23C86">
              <w:rPr>
                <w:rFonts w:ascii="Verdana" w:hAnsi="Verdana"/>
                <w:color w:val="000000" w:themeColor="text1"/>
                <w:sz w:val="22"/>
                <w:szCs w:val="22"/>
                <w:lang w:val="mk-MK"/>
              </w:rPr>
              <w:t>150 минути</w:t>
            </w:r>
            <w:r w:rsidR="00E13BE7" w:rsidRPr="00C23C86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7344B" w:rsidRPr="00C23C86" w14:paraId="7C1107AB" w14:textId="77777777" w:rsidTr="00B56791">
        <w:trPr>
          <w:trHeight w:val="1376"/>
        </w:trPr>
        <w:tc>
          <w:tcPr>
            <w:tcW w:w="9010" w:type="dxa"/>
            <w:gridSpan w:val="3"/>
            <w:vAlign w:val="center"/>
          </w:tcPr>
          <w:p w14:paraId="0B1C3404" w14:textId="541C0F2D" w:rsidR="00E7344B" w:rsidRPr="00C23C86" w:rsidRDefault="00F22F9E" w:rsidP="00C23C86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C23C86">
              <w:rPr>
                <w:rFonts w:ascii="Verdana" w:hAnsi="Verdana"/>
                <w:b/>
                <w:sz w:val="22"/>
                <w:szCs w:val="22"/>
                <w:lang w:val="mk-MK"/>
              </w:rPr>
              <w:t>Потребни средства:</w:t>
            </w:r>
            <w:r w:rsidR="00E13BE7" w:rsidRPr="00C23C86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060400D8" w14:textId="597FB440" w:rsidR="000F7896" w:rsidRPr="00C23C86" w:rsidRDefault="00F22F9E" w:rsidP="00C23C86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lang w:val="en-GB"/>
              </w:rPr>
            </w:pPr>
            <w:r w:rsidRPr="00C23C86">
              <w:rPr>
                <w:lang w:val="mk-MK"/>
              </w:rPr>
              <w:t>Персонален компјутер/</w:t>
            </w:r>
            <w:r w:rsidR="004E6EE2" w:rsidRPr="00C23C86">
              <w:rPr>
                <w:lang w:val="mk-MK"/>
              </w:rPr>
              <w:t>л</w:t>
            </w:r>
            <w:r w:rsidRPr="00C23C86">
              <w:rPr>
                <w:lang w:val="mk-MK"/>
              </w:rPr>
              <w:t>аптоп опремен со софтверски верзии компатибилни со подготвените материјали</w:t>
            </w:r>
            <w:r w:rsidR="000F7896" w:rsidRPr="00C23C86">
              <w:rPr>
                <w:lang w:val="en-GB"/>
              </w:rPr>
              <w:t xml:space="preserve"> </w:t>
            </w:r>
          </w:p>
          <w:p w14:paraId="62A10C2C" w14:textId="4D6C9022" w:rsidR="000F7896" w:rsidRPr="00C23C86" w:rsidRDefault="00F22F9E" w:rsidP="00C23C86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lang w:val="en-GB"/>
              </w:rPr>
            </w:pPr>
            <w:r w:rsidRPr="00C23C86">
              <w:rPr>
                <w:lang w:val="mk-MK"/>
              </w:rPr>
              <w:t>Интернет пристап (доколку е достапен)</w:t>
            </w:r>
            <w:r w:rsidR="000F7896" w:rsidRPr="00C23C86">
              <w:rPr>
                <w:lang w:val="en-GB"/>
              </w:rPr>
              <w:t xml:space="preserve"> </w:t>
            </w:r>
          </w:p>
          <w:p w14:paraId="14CF9EF0" w14:textId="1325E0F0" w:rsidR="000F7896" w:rsidRPr="00C23C86" w:rsidRDefault="00F22F9E" w:rsidP="00C23C86">
            <w:pPr>
              <w:pStyle w:val="bul1"/>
              <w:numPr>
                <w:ilvl w:val="0"/>
                <w:numId w:val="6"/>
              </w:numPr>
              <w:spacing w:before="120" w:after="120" w:line="260" w:lineRule="atLeast"/>
              <w:rPr>
                <w:lang w:val="en-GB"/>
              </w:rPr>
            </w:pPr>
            <w:r w:rsidRPr="00C23C86">
              <w:rPr>
                <w:lang w:val="mk-MK"/>
              </w:rPr>
              <w:t>PowerPoint или друг софтвер за презентации</w:t>
            </w:r>
          </w:p>
        </w:tc>
      </w:tr>
      <w:tr w:rsidR="00E7344B" w:rsidRPr="00C23C86" w14:paraId="635F2EFD" w14:textId="77777777" w:rsidTr="004D35F1">
        <w:trPr>
          <w:trHeight w:val="2051"/>
        </w:trPr>
        <w:tc>
          <w:tcPr>
            <w:tcW w:w="9010" w:type="dxa"/>
            <w:gridSpan w:val="3"/>
            <w:vAlign w:val="center"/>
          </w:tcPr>
          <w:p w14:paraId="34602AF3" w14:textId="7B657FB8" w:rsidR="00A03CF0" w:rsidRPr="00C23C86" w:rsidRDefault="00F22F9E" w:rsidP="00C23C86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C23C86">
              <w:rPr>
                <w:rFonts w:ascii="Verdana" w:hAnsi="Verdana"/>
                <w:b/>
                <w:sz w:val="22"/>
                <w:szCs w:val="22"/>
                <w:lang w:val="mk-MK"/>
              </w:rPr>
              <w:t>Цел на сесијата:</w:t>
            </w:r>
            <w:r w:rsidR="00A03CF0" w:rsidRPr="00C23C86"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</w:p>
          <w:p w14:paraId="3FE58655" w14:textId="2F3301C0" w:rsidR="00A03CF0" w:rsidRPr="00C23C86" w:rsidRDefault="00362D29" w:rsidP="00C23C86">
            <w:pPr>
              <w:spacing w:before="120" w:after="120" w:line="260" w:lineRule="atLeast"/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3C86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 xml:space="preserve">Целта на оваа сесија е да се претстави целосниот </w:t>
            </w:r>
            <w:r w:rsidR="002A723F" w:rsidRPr="00C23C86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 xml:space="preserve">процес </w:t>
            </w:r>
            <w:r w:rsidRPr="00C23C86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>чекор по чекор</w:t>
            </w:r>
            <w:r w:rsidR="002A723F" w:rsidRPr="00C23C86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 xml:space="preserve">, </w:t>
            </w:r>
            <w:r w:rsidRPr="00C23C86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>за тоа како се стекнуваат дигитални докази преку механизмите за меѓународна соработка.</w:t>
            </w:r>
            <w:r w:rsidR="00BA319A" w:rsidRPr="00C23C86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</w:t>
            </w:r>
            <w:r w:rsidRPr="00C23C86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 xml:space="preserve">Ова ќе биде претставено преку вовед за реалните чекори на ЗПП преземени од </w:t>
            </w:r>
            <w:r w:rsidR="002A723F" w:rsidRPr="00C23C86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 xml:space="preserve">страната барател и </w:t>
            </w:r>
            <w:r w:rsidR="004E6EE2" w:rsidRPr="00C23C86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>замолен</w:t>
            </w:r>
            <w:r w:rsidR="002A723F" w:rsidRPr="00C23C86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>ата страна</w:t>
            </w:r>
            <w:r w:rsidRPr="00C23C86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 xml:space="preserve"> и со користење на студијата на случај.</w:t>
            </w:r>
            <w:r w:rsidR="00BA319A" w:rsidRPr="00C23C86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</w:t>
            </w:r>
            <w:r w:rsidRPr="00C23C86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 xml:space="preserve">Студијата на случај ќе дискутира за видовите податоци, како </w:t>
            </w:r>
            <w:r w:rsidR="004E6EE2" w:rsidRPr="00C23C86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>ис</w:t>
            </w:r>
            <w:r w:rsidRPr="00C23C86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>ти</w:t>
            </w:r>
            <w:r w:rsidR="004E6EE2" w:rsidRPr="00C23C86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>т</w:t>
            </w:r>
            <w:r w:rsidRPr="00C23C86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 xml:space="preserve">е се </w:t>
            </w:r>
            <w:r w:rsidR="007711FC" w:rsidRPr="00C23C86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>собираат</w:t>
            </w:r>
            <w:r w:rsidRPr="00C23C86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>/добиваат преку разните механизми за меѓународна соработка, вклучувајќи и неформални методи.</w:t>
            </w:r>
            <w:r w:rsidR="00BA319A" w:rsidRPr="00C23C86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</w:t>
            </w:r>
            <w:r w:rsidRPr="00C23C86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>Како полицијата, обвинителите и други се справуваат со податоците.</w:t>
            </w:r>
            <w:r w:rsidR="00BA319A" w:rsidRPr="00C23C86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</w:t>
            </w:r>
            <w:r w:rsidRPr="00C23C86">
              <w:rPr>
                <w:rFonts w:ascii="Verdana" w:eastAsia="Times New Roman" w:hAnsi="Verdana" w:cs="Arial"/>
                <w:color w:val="000000"/>
                <w:sz w:val="18"/>
                <w:szCs w:val="18"/>
                <w:lang w:val="mk-MK"/>
              </w:rPr>
              <w:t>Оваа сесија ќе им овозможи на обвинителите, судиите и магистратите да можат попрецизно да ги проценат добиените податоци што ќе бидат презентирани на следната сесија пред судот како доказ.</w:t>
            </w:r>
          </w:p>
        </w:tc>
      </w:tr>
      <w:tr w:rsidR="00A03CF0" w:rsidRPr="00C23C86" w14:paraId="1B5A80A7" w14:textId="77777777" w:rsidTr="00F1338F">
        <w:trPr>
          <w:trHeight w:val="5894"/>
        </w:trPr>
        <w:tc>
          <w:tcPr>
            <w:tcW w:w="9010" w:type="dxa"/>
            <w:gridSpan w:val="3"/>
          </w:tcPr>
          <w:p w14:paraId="559A7E05" w14:textId="79C70FE0" w:rsidR="00A03CF0" w:rsidRPr="00C23C86" w:rsidRDefault="00362D29" w:rsidP="00C23C86">
            <w:pPr>
              <w:spacing w:before="120" w:after="12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C23C86">
              <w:rPr>
                <w:rFonts w:ascii="Verdana" w:hAnsi="Verdana"/>
                <w:b/>
                <w:sz w:val="18"/>
                <w:szCs w:val="18"/>
                <w:lang w:val="mk-MK"/>
              </w:rPr>
              <w:t>Цели:</w:t>
            </w:r>
          </w:p>
          <w:p w14:paraId="54D70942" w14:textId="3F55301D" w:rsidR="00BA319A" w:rsidRPr="00C23C86" w:rsidRDefault="00362D29" w:rsidP="00C23C86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да се освежи и прошири знаењето за видовите електронски докази типични за барања и размена на заемна правна помош</w:t>
            </w:r>
          </w:p>
          <w:p w14:paraId="683C234E" w14:textId="567346D1" w:rsidR="00BA319A" w:rsidRPr="00C23C86" w:rsidRDefault="00362D29" w:rsidP="00C23C86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да </w:t>
            </w:r>
            <w:r w:rsidR="002A723F" w:rsidRPr="00C23C86">
              <w:rPr>
                <w:rFonts w:ascii="Verdana" w:hAnsi="Verdana"/>
                <w:sz w:val="18"/>
                <w:szCs w:val="18"/>
                <w:lang w:val="mk-MK"/>
              </w:rPr>
              <w:t>се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прошири знаењето за видовите органи кои се надлежни 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>д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а 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земат 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учество во заемна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>та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правна помош</w:t>
            </w:r>
          </w:p>
          <w:p w14:paraId="662344FF" w14:textId="4111FFFC" w:rsidR="00BA319A" w:rsidRPr="00C23C86" w:rsidRDefault="00362D29" w:rsidP="00C23C86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да се разбере разликата помеѓу </w:t>
            </w:r>
            <w:r w:rsidR="002A723F" w:rsidRPr="00C23C86">
              <w:rPr>
                <w:rFonts w:ascii="Verdana" w:hAnsi="Verdana"/>
                <w:sz w:val="18"/>
                <w:szCs w:val="18"/>
                <w:lang w:val="mk-MK"/>
              </w:rPr>
              <w:t>Централниот орган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</w:t>
            </w:r>
            <w:r w:rsidR="002A723F" w:rsidRPr="00C23C86">
              <w:rPr>
                <w:rFonts w:ascii="Verdana" w:hAnsi="Verdana"/>
                <w:sz w:val="18"/>
                <w:szCs w:val="18"/>
                <w:lang w:val="mk-MK"/>
              </w:rPr>
              <w:t>з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а ЗПП и 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>и</w:t>
            </w:r>
            <w:r w:rsidR="002A723F" w:rsidRPr="00C23C86">
              <w:rPr>
                <w:rFonts w:ascii="Verdana" w:hAnsi="Verdana"/>
                <w:sz w:val="18"/>
                <w:szCs w:val="18"/>
                <w:lang w:val="mk-MK"/>
              </w:rPr>
              <w:t>звршните органи и хибридни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системи </w:t>
            </w:r>
          </w:p>
          <w:p w14:paraId="552625F1" w14:textId="0AFCD5DC" w:rsidR="00BA319A" w:rsidRPr="00C23C86" w:rsidRDefault="00362D29" w:rsidP="00C23C86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да се разбере кои се процедуралните надлежности за ЗПП за различни органи</w:t>
            </w:r>
            <w:r w:rsidR="00BA319A" w:rsidRPr="00C23C86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BEB47AA" w14:textId="20A50FB2" w:rsidR="00BA319A" w:rsidRPr="00C23C86" w:rsidRDefault="00362D29" w:rsidP="00C23C86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да </w:t>
            </w:r>
            <w:r w:rsidR="005570E1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се 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науч</w:t>
            </w:r>
            <w:r w:rsidR="005570E1" w:rsidRPr="00C23C86">
              <w:rPr>
                <w:rFonts w:ascii="Verdana" w:hAnsi="Verdana"/>
                <w:sz w:val="18"/>
                <w:szCs w:val="18"/>
                <w:lang w:val="mk-MK"/>
              </w:rPr>
              <w:t>и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за можните чекори и варијации на чекорите преземени за време на постапката за ЗПП од различни надлежни органи</w:t>
            </w:r>
          </w:p>
          <w:p w14:paraId="6DA11603" w14:textId="7757F108" w:rsidR="00BA319A" w:rsidRPr="00C23C86" w:rsidRDefault="00362D29" w:rsidP="00C23C86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активно </w:t>
            </w:r>
            <w:r w:rsidR="005570E1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да се 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учеств</w:t>
            </w:r>
            <w:r w:rsidR="005570E1" w:rsidRPr="00C23C86">
              <w:rPr>
                <w:rFonts w:ascii="Verdana" w:hAnsi="Verdana"/>
                <w:sz w:val="18"/>
                <w:szCs w:val="18"/>
                <w:lang w:val="mk-MK"/>
              </w:rPr>
              <w:t>ува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во анализа на студија на случај преку примена на претходно усвоени знаења и вештини</w:t>
            </w:r>
          </w:p>
          <w:p w14:paraId="61ABEAC5" w14:textId="532D7210" w:rsidR="004D35F1" w:rsidRPr="00C23C86" w:rsidRDefault="00362D29" w:rsidP="00C23C86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да се</w:t>
            </w:r>
            <w:r w:rsidR="005570E1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подобри целокупното знаење за 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>з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аемна правна помош во врска со постапките за стекнување електронски докази</w:t>
            </w:r>
          </w:p>
        </w:tc>
      </w:tr>
      <w:tr w:rsidR="005703B7" w:rsidRPr="00C23C86" w14:paraId="03110757" w14:textId="77777777" w:rsidTr="00D62E5F">
        <w:trPr>
          <w:trHeight w:val="3230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vAlign w:val="center"/>
          </w:tcPr>
          <w:p w14:paraId="7A064E85" w14:textId="7C45F296" w:rsidR="005703B7" w:rsidRPr="00C23C86" w:rsidRDefault="00362D29" w:rsidP="00C23C86">
            <w:pPr>
              <w:spacing w:before="120" w:after="120" w:line="260" w:lineRule="atLeast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C23C86">
              <w:rPr>
                <w:rFonts w:ascii="Verdana" w:hAnsi="Verdana"/>
                <w:b/>
                <w:color w:val="000000" w:themeColor="text1"/>
                <w:sz w:val="18"/>
                <w:szCs w:val="18"/>
                <w:lang w:val="mk-MK"/>
              </w:rPr>
              <w:lastRenderedPageBreak/>
              <w:t>Упатство за обучувачи</w:t>
            </w:r>
          </w:p>
          <w:p w14:paraId="4581021B" w14:textId="22785C14" w:rsidR="00694153" w:rsidRPr="00C23C86" w:rsidRDefault="00362D29" w:rsidP="00C23C86">
            <w:pPr>
              <w:spacing w:beforeLines="20" w:before="48" w:afterLines="120" w:after="288" w:line="260" w:lineRule="atLeast"/>
              <w:jc w:val="both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 w:rsidRPr="00C23C86">
              <w:rPr>
                <w:rFonts w:ascii="Verdana" w:hAnsi="Verdana"/>
                <w:bCs/>
                <w:color w:val="000000" w:themeColor="text1"/>
                <w:sz w:val="18"/>
                <w:szCs w:val="18"/>
                <w:lang w:val="mk-MK"/>
              </w:rPr>
              <w:t>За време на сесијата треба да се разгледаат следните теми:</w:t>
            </w:r>
          </w:p>
          <w:p w14:paraId="429E349B" w14:textId="53BA4B05" w:rsidR="00694153" w:rsidRPr="00C23C86" w:rsidRDefault="005570E1" w:rsidP="00C23C86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jc w:val="both"/>
              <w:rPr>
                <w:rFonts w:ascii="Verdana" w:hAnsi="Verdana"/>
                <w:sz w:val="18"/>
                <w:szCs w:val="18"/>
                <w:lang w:val="mk-MK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в</w:t>
            </w:r>
            <w:r w:rsidR="00DD51D0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ообичаени видови на електронски докази во ЗПП, вклучувајќи 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>видо</w:t>
            </w:r>
            <w:r w:rsidR="00DD51D0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ви компјутерски податоци, достапни дефиниции 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>од</w:t>
            </w:r>
            <w:r w:rsidR="00DD51D0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Конвенцијата од Будимпешта, постапки, процеси и други форми на заемна помош</w:t>
            </w:r>
          </w:p>
          <w:p w14:paraId="65045810" w14:textId="4E2E1C45" w:rsidR="00694153" w:rsidRPr="00C23C86" w:rsidRDefault="005570E1" w:rsidP="00C23C86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jc w:val="both"/>
              <w:rPr>
                <w:rFonts w:ascii="Verdana" w:hAnsi="Verdana"/>
                <w:sz w:val="18"/>
                <w:szCs w:val="18"/>
                <w:lang w:val="mk-MK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поставување</w:t>
            </w:r>
            <w:r w:rsidR="00DD51D0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на надлежни органи – централни и извршни, вклучувајќи можности и пречки за ефективна соработка и реакција од страна на 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>м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инистерството</w:t>
            </w:r>
            <w:r w:rsidR="00DD51D0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за правда, полицијата, обвинителството и судот</w:t>
            </w:r>
          </w:p>
          <w:p w14:paraId="1CDECF5E" w14:textId="6CA03BE8" w:rsidR="00694153" w:rsidRPr="00C23C86" w:rsidRDefault="00DD51D0" w:rsidP="00C23C86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jc w:val="both"/>
              <w:rPr>
                <w:rFonts w:ascii="Verdana" w:hAnsi="Verdana"/>
                <w:sz w:val="18"/>
                <w:szCs w:val="18"/>
                <w:lang w:val="mk-MK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практичен преглед на постапките за заемна правна помош, вклучувајќи чекор по чекор опис на постапките</w:t>
            </w:r>
          </w:p>
          <w:p w14:paraId="5EFF4BEF" w14:textId="7CBD3523" w:rsidR="00F824B2" w:rsidRPr="00C23C86" w:rsidRDefault="00DD51D0" w:rsidP="00C23C86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spacing w:before="120" w:after="120" w:line="260" w:lineRule="atLeast"/>
              <w:contextualSpacing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студија на случај</w:t>
            </w:r>
          </w:p>
        </w:tc>
      </w:tr>
      <w:tr w:rsidR="005A4E47" w:rsidRPr="00C23C86" w14:paraId="7760520D" w14:textId="77777777" w:rsidTr="00F1574D">
        <w:trPr>
          <w:trHeight w:val="728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533D38" w14:textId="2A5CAB7C" w:rsidR="005A4E47" w:rsidRPr="00C23C86" w:rsidRDefault="00DD51D0" w:rsidP="00C23C86">
            <w:pPr>
              <w:spacing w:before="120" w:after="120" w:line="260" w:lineRule="atLeast"/>
              <w:rPr>
                <w:rFonts w:ascii="Verdana" w:hAnsi="Verdana"/>
                <w:b/>
                <w:sz w:val="28"/>
                <w:szCs w:val="28"/>
              </w:rPr>
            </w:pPr>
            <w:r w:rsidRPr="00C23C86">
              <w:rPr>
                <w:rFonts w:ascii="Verdana" w:hAnsi="Verdana"/>
                <w:b/>
                <w:sz w:val="28"/>
                <w:szCs w:val="28"/>
                <w:lang w:val="mk-MK"/>
              </w:rPr>
              <w:t>Содржина на лекцијата</w:t>
            </w:r>
          </w:p>
        </w:tc>
      </w:tr>
      <w:tr w:rsidR="00F1574D" w:rsidRPr="00C23C86" w14:paraId="57CC7AA4" w14:textId="77777777" w:rsidTr="00F1574D">
        <w:trPr>
          <w:trHeight w:val="629"/>
        </w:trPr>
        <w:tc>
          <w:tcPr>
            <w:tcW w:w="1525" w:type="dxa"/>
            <w:shd w:val="clear" w:color="auto" w:fill="D9E2F3" w:themeFill="accent1" w:themeFillTint="33"/>
            <w:vAlign w:val="center"/>
          </w:tcPr>
          <w:p w14:paraId="4538C338" w14:textId="402B8C03" w:rsidR="00D82C18" w:rsidRPr="00C23C86" w:rsidRDefault="00DD51D0" w:rsidP="00C23C86">
            <w:pPr>
              <w:spacing w:before="120" w:after="120" w:line="260" w:lineRule="atLeast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C23C86">
              <w:rPr>
                <w:rFonts w:ascii="Verdana" w:hAnsi="Verdana"/>
                <w:b/>
                <w:sz w:val="22"/>
                <w:szCs w:val="22"/>
                <w:lang w:val="mk-MK"/>
              </w:rPr>
              <w:t>Број на слајдови</w:t>
            </w:r>
          </w:p>
        </w:tc>
        <w:tc>
          <w:tcPr>
            <w:tcW w:w="7485" w:type="dxa"/>
            <w:gridSpan w:val="2"/>
            <w:shd w:val="clear" w:color="auto" w:fill="D9E2F3" w:themeFill="accent1" w:themeFillTint="33"/>
            <w:vAlign w:val="center"/>
          </w:tcPr>
          <w:p w14:paraId="2DA616FC" w14:textId="61A7325E" w:rsidR="00D82C18" w:rsidRPr="00C23C86" w:rsidRDefault="00DD51D0" w:rsidP="00C23C86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C23C86">
              <w:rPr>
                <w:rFonts w:ascii="Verdana" w:hAnsi="Verdana"/>
                <w:b/>
                <w:sz w:val="22"/>
                <w:szCs w:val="22"/>
                <w:lang w:val="mk-MK"/>
              </w:rPr>
              <w:t>Содржина</w:t>
            </w:r>
          </w:p>
        </w:tc>
      </w:tr>
      <w:tr w:rsidR="00F1574D" w:rsidRPr="00C23C86" w14:paraId="11A12D7E" w14:textId="77777777" w:rsidTr="00BD7897">
        <w:trPr>
          <w:trHeight w:val="1043"/>
        </w:trPr>
        <w:tc>
          <w:tcPr>
            <w:tcW w:w="1525" w:type="dxa"/>
            <w:vAlign w:val="center"/>
          </w:tcPr>
          <w:p w14:paraId="5A89CF27" w14:textId="7E26D29D" w:rsidR="00F1574D" w:rsidRPr="00C23C86" w:rsidRDefault="00DD51D0" w:rsidP="00C23C8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1 до 3</w:t>
            </w:r>
          </w:p>
        </w:tc>
        <w:tc>
          <w:tcPr>
            <w:tcW w:w="7485" w:type="dxa"/>
            <w:gridSpan w:val="2"/>
            <w:vAlign w:val="center"/>
          </w:tcPr>
          <w:p w14:paraId="36345B59" w14:textId="01AC8B76" w:rsidR="00556D69" w:rsidRPr="00C23C86" w:rsidRDefault="00DD51D0" w:rsidP="00C23C86">
            <w:pPr>
              <w:spacing w:before="120" w:after="120" w:line="260" w:lineRule="atLeast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 w:rsidRPr="00C23C86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Почетните слајдови се воведот во сесијата </w:t>
            </w:r>
            <w:r w:rsidR="005570E1" w:rsidRPr="00C23C86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и ги</w:t>
            </w:r>
            <w:r w:rsidRPr="00C23C86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вклучуваат </w:t>
            </w:r>
            <w:r w:rsidR="005570E1" w:rsidRPr="00C23C86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дневниот ред</w:t>
            </w:r>
            <w:r w:rsidRPr="00C23C86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 xml:space="preserve"> и целите на сесијата заедно со некои под-теми за потсетување од Воведната обука.</w:t>
            </w:r>
            <w:r w:rsidR="00556D69" w:rsidRPr="00C23C8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A60446" w:rsidRPr="00C23C86" w14:paraId="42D2960A" w14:textId="77777777" w:rsidTr="00F1574D">
        <w:trPr>
          <w:trHeight w:val="1880"/>
        </w:trPr>
        <w:tc>
          <w:tcPr>
            <w:tcW w:w="1525" w:type="dxa"/>
            <w:vAlign w:val="center"/>
          </w:tcPr>
          <w:p w14:paraId="3DAC33AA" w14:textId="5A2471CC" w:rsidR="00A60446" w:rsidRPr="00C23C86" w:rsidRDefault="00DD51D0" w:rsidP="00C23C8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4 до 7</w:t>
            </w:r>
          </w:p>
        </w:tc>
        <w:tc>
          <w:tcPr>
            <w:tcW w:w="7485" w:type="dxa"/>
            <w:gridSpan w:val="2"/>
            <w:vAlign w:val="center"/>
          </w:tcPr>
          <w:p w14:paraId="1246D7D4" w14:textId="06A086CE" w:rsidR="00A60446" w:rsidRPr="00C23C86" w:rsidRDefault="00B1280C" w:rsidP="00C23C86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</w:rPr>
            </w:pP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Овие слајдови 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дава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>ат брзо резим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е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 на дефиниции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те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>, информации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те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 и објаснувања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та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 за најтипичните 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вид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>ови компјутерски податоци што се користат денес.</w:t>
            </w:r>
            <w:r w:rsidR="00BA6A8F" w:rsidRPr="00C23C86">
              <w:rPr>
                <w:rFonts w:ascii="Verdana" w:eastAsia="Times New Roman" w:hAnsi="Verdana"/>
                <w:szCs w:val="18"/>
                <w:lang w:val="en-US"/>
              </w:rPr>
              <w:t xml:space="preserve"> 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Ова веќе им е презентирано на 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претставници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>те во рамките на сесиите за членовите (1 и 18) на Конвенцијата од Будимпешта, електронски докази и слично.</w:t>
            </w:r>
          </w:p>
        </w:tc>
      </w:tr>
      <w:tr w:rsidR="003B34C4" w:rsidRPr="00C23C86" w14:paraId="19763061" w14:textId="77777777" w:rsidTr="00F1574D">
        <w:trPr>
          <w:trHeight w:val="1880"/>
        </w:trPr>
        <w:tc>
          <w:tcPr>
            <w:tcW w:w="1525" w:type="dxa"/>
            <w:vAlign w:val="center"/>
          </w:tcPr>
          <w:p w14:paraId="58BC834A" w14:textId="0643FAF4" w:rsidR="003B34C4" w:rsidRPr="00C23C86" w:rsidRDefault="00B1280C" w:rsidP="00C23C8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8 до 9</w:t>
            </w:r>
          </w:p>
        </w:tc>
        <w:tc>
          <w:tcPr>
            <w:tcW w:w="7485" w:type="dxa"/>
            <w:gridSpan w:val="2"/>
            <w:vAlign w:val="center"/>
          </w:tcPr>
          <w:p w14:paraId="7391A0F1" w14:textId="7EDB98BC" w:rsidR="003B34C4" w:rsidRPr="00C23C86" w:rsidRDefault="00B1280C" w:rsidP="00C23C86">
            <w:pPr>
              <w:pStyle w:val="Subtitle"/>
              <w:spacing w:before="120" w:line="260" w:lineRule="atLeast"/>
              <w:rPr>
                <w:rFonts w:ascii="Verdana" w:eastAsia="MS PGothic" w:hAnsi="Verdana" w:cs="MS PGothic"/>
                <w:iCs w:val="0"/>
                <w:kern w:val="24"/>
                <w:sz w:val="36"/>
                <w:szCs w:val="36"/>
              </w:rPr>
            </w:pP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Овие слајдови 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дава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>ат подетал</w:t>
            </w:r>
            <w:r w:rsidR="005570E1" w:rsidRPr="00C23C86">
              <w:rPr>
                <w:rFonts w:ascii="Verdana" w:eastAsia="Times New Roman" w:hAnsi="Verdana"/>
                <w:szCs w:val="18"/>
                <w:lang w:val="mk-MK"/>
              </w:rPr>
              <w:t>н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и информации за </w:t>
            </w:r>
            <w:r w:rsidR="005570E1" w:rsidRPr="00C23C86">
              <w:rPr>
                <w:rFonts w:ascii="Verdana" w:eastAsia="Times New Roman" w:hAnsi="Verdana"/>
                <w:szCs w:val="18"/>
                <w:lang w:val="mk-MK"/>
              </w:rPr>
              <w:t>ОИП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 (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о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>сновни информации за претплатници).</w:t>
            </w:r>
            <w:r w:rsidR="003B34C4" w:rsidRPr="00C23C86">
              <w:rPr>
                <w:rFonts w:ascii="Verdana" w:eastAsia="MS PGothic" w:hAnsi="Verdana" w:cs="MS PGothic"/>
                <w:iCs w:val="0"/>
                <w:kern w:val="24"/>
                <w:sz w:val="36"/>
                <w:szCs w:val="36"/>
              </w:rPr>
              <w:t xml:space="preserve"> </w:t>
            </w:r>
          </w:p>
          <w:p w14:paraId="7D495A78" w14:textId="04064D0F" w:rsidR="00BA6A8F" w:rsidRPr="00C23C86" w:rsidRDefault="00B1280C" w:rsidP="00C23C86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</w:rPr>
            </w:pP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Основните информации за претплатници </w:t>
            </w:r>
            <w:r w:rsidR="005570E1" w:rsidRPr="00C23C86">
              <w:rPr>
                <w:rFonts w:ascii="Verdana" w:eastAsia="Times New Roman" w:hAnsi="Verdana"/>
                <w:szCs w:val="18"/>
                <w:lang w:val="mk-MK"/>
              </w:rPr>
              <w:t>с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>е најпрво дефинирани од телекомуникациските компании и знач</w:t>
            </w:r>
            <w:r w:rsidR="005570E1" w:rsidRPr="00C23C86">
              <w:rPr>
                <w:rFonts w:ascii="Verdana" w:eastAsia="Times New Roman" w:hAnsi="Verdana"/>
                <w:szCs w:val="18"/>
                <w:lang w:val="mk-MK"/>
              </w:rPr>
              <w:t>ат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>:</w:t>
            </w:r>
            <w:r w:rsidR="00BA6A8F" w:rsidRPr="00C23C86">
              <w:rPr>
                <w:rFonts w:ascii="Verdana" w:eastAsia="Times New Roman" w:hAnsi="Verdana"/>
                <w:szCs w:val="18"/>
              </w:rPr>
              <w:t xml:space="preserve"> 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>(А) име, (Б) адреса, (В) записи за локалн</w:t>
            </w:r>
            <w:r w:rsidR="005570E1" w:rsidRPr="00C23C86">
              <w:rPr>
                <w:rFonts w:ascii="Verdana" w:eastAsia="Times New Roman" w:hAnsi="Verdana"/>
                <w:szCs w:val="18"/>
                <w:lang w:val="mk-MK"/>
              </w:rPr>
              <w:t>и и далечни телефонски врски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 или записи за време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то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 и времетраење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то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 на сесијата, (Г) должина на услугата, вклучувајќи и датум на започнување и видови искористени услуги, (Д) телефонски или инструментален број или друг претплатнички број или идентитет, вклучувајќи и која било доделена </w:t>
            </w:r>
            <w:r w:rsidR="005570E1" w:rsidRPr="00C23C86">
              <w:rPr>
                <w:rFonts w:ascii="Verdana" w:eastAsia="Times New Roman" w:hAnsi="Verdana"/>
                <w:szCs w:val="18"/>
                <w:lang w:val="mk-MK"/>
              </w:rPr>
              <w:t>интернет</w:t>
            </w:r>
            <w:r w:rsidR="004E6EE2" w:rsidRPr="00C23C86">
              <w:rPr>
                <w:rFonts w:ascii="Verdana" w:eastAsia="Times New Roman" w:hAnsi="Verdana"/>
                <w:szCs w:val="18"/>
                <w:lang w:val="en-US"/>
              </w:rPr>
              <w:t xml:space="preserve"> (IP) 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>адреса и (Ѓ) средства и извор на плаќање за таквата услуга, вклучувајќи бро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ј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 на кредитна картичка или банкарска сметка.</w:t>
            </w:r>
          </w:p>
          <w:p w14:paraId="53059D73" w14:textId="1E0847A4" w:rsidR="003B34C4" w:rsidRPr="00C23C86" w:rsidRDefault="00207F9E" w:rsidP="00C23C86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</w:rPr>
            </w:pP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Денес се спроведува за претплатниците на давателите на услуги 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за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 пристап до интернет.</w:t>
            </w:r>
          </w:p>
        </w:tc>
      </w:tr>
      <w:tr w:rsidR="003B34C4" w:rsidRPr="00C23C86" w14:paraId="2DD044A7" w14:textId="77777777" w:rsidTr="0023008E">
        <w:trPr>
          <w:trHeight w:val="1070"/>
        </w:trPr>
        <w:tc>
          <w:tcPr>
            <w:tcW w:w="1525" w:type="dxa"/>
            <w:vAlign w:val="center"/>
          </w:tcPr>
          <w:p w14:paraId="4CFF30A3" w14:textId="4A1E7FAC" w:rsidR="003B34C4" w:rsidRPr="00C23C86" w:rsidRDefault="008E4D2C" w:rsidP="00C23C8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23C86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7485" w:type="dxa"/>
            <w:gridSpan w:val="2"/>
            <w:vAlign w:val="center"/>
          </w:tcPr>
          <w:p w14:paraId="30C4D26D" w14:textId="5EFA5D81" w:rsidR="008E4D2C" w:rsidRPr="00C23C86" w:rsidRDefault="00207F9E" w:rsidP="00C23C86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</w:rPr>
            </w:pPr>
            <w:r w:rsidRPr="00C23C86">
              <w:rPr>
                <w:rFonts w:ascii="Verdana" w:eastAsia="Times New Roman" w:hAnsi="Verdana"/>
                <w:szCs w:val="18"/>
                <w:lang w:val="mk-MK"/>
              </w:rPr>
              <w:t>Слајд за преносни податоци.</w:t>
            </w:r>
            <w:r w:rsidR="008E4D2C" w:rsidRPr="00C23C86">
              <w:rPr>
                <w:rFonts w:ascii="Verdana" w:eastAsia="Times New Roman" w:hAnsi="Verdana"/>
                <w:szCs w:val="18"/>
              </w:rPr>
              <w:t xml:space="preserve"> 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Овие податоци се генерираат од компјутерите во синџирот на комуникација за 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рутир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>ање на комуникација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та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 од нејзиното потекло до нејзината дестинација.</w:t>
            </w:r>
            <w:r w:rsidR="008E4D2C" w:rsidRPr="00C23C86">
              <w:rPr>
                <w:rFonts w:ascii="Verdana" w:eastAsia="Times New Roman" w:hAnsi="Verdana"/>
                <w:szCs w:val="18"/>
              </w:rPr>
              <w:t xml:space="preserve"> 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>Затоа тие се помошни за самата комуникација.</w:t>
            </w:r>
            <w:r w:rsidR="008E4D2C" w:rsidRPr="00C23C86">
              <w:rPr>
                <w:rFonts w:ascii="Verdana" w:eastAsia="Times New Roman" w:hAnsi="Verdana"/>
                <w:szCs w:val="18"/>
              </w:rPr>
              <w:t xml:space="preserve"> </w:t>
            </w:r>
          </w:p>
          <w:p w14:paraId="09C9710C" w14:textId="17D12B9D" w:rsidR="008E4D2C" w:rsidRPr="00C23C86" w:rsidRDefault="00207F9E" w:rsidP="00C23C86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</w:rPr>
            </w:pP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Во случај на истрага на кривично дело сторено во врска со компјутерски систем, 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 xml:space="preserve">податочниот сообраќај 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>е потреб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е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>н за да се пронајде изворот на комуникација како почетна точка</w:t>
            </w:r>
            <w:r w:rsidR="00004A76" w:rsidRPr="00C23C86">
              <w:rPr>
                <w:rFonts w:ascii="Verdana" w:eastAsia="Times New Roman" w:hAnsi="Verdana"/>
                <w:szCs w:val="18"/>
                <w:lang w:val="mk-MK"/>
              </w:rPr>
              <w:t>,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 за собирање дополнителни докази или како дел од доказите за делото.</w:t>
            </w:r>
            <w:r w:rsidR="008E4D2C" w:rsidRPr="00C23C86">
              <w:rPr>
                <w:rFonts w:ascii="Verdana" w:eastAsia="Times New Roman" w:hAnsi="Verdana"/>
                <w:szCs w:val="18"/>
              </w:rPr>
              <w:t xml:space="preserve"> 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>П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одаточниот сообраќај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 може да би</w:t>
            </w:r>
            <w:r w:rsidR="00004A76" w:rsidRPr="00C23C86">
              <w:rPr>
                <w:rFonts w:ascii="Verdana" w:eastAsia="Times New Roman" w:hAnsi="Verdana"/>
                <w:szCs w:val="18"/>
                <w:lang w:val="mk-MK"/>
              </w:rPr>
              <w:t>д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е</w:t>
            </w:r>
            <w:r w:rsidR="00004A76" w:rsidRPr="00C23C86">
              <w:rPr>
                <w:rFonts w:ascii="Verdana" w:eastAsia="Times New Roman" w:hAnsi="Verdana"/>
                <w:szCs w:val="18"/>
                <w:lang w:val="mk-MK"/>
              </w:rPr>
              <w:t xml:space="preserve"> </w:t>
            </w:r>
            <w:r w:rsidR="00004A76" w:rsidRPr="00C23C86">
              <w:rPr>
                <w:rFonts w:ascii="Verdana" w:eastAsia="Times New Roman" w:hAnsi="Verdana"/>
                <w:szCs w:val="18"/>
                <w:lang w:val="mk-MK"/>
              </w:rPr>
              <w:lastRenderedPageBreak/>
              <w:t>краткотра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е</w:t>
            </w:r>
            <w:r w:rsidR="00004A76" w:rsidRPr="00C23C86">
              <w:rPr>
                <w:rFonts w:ascii="Verdana" w:eastAsia="Times New Roman" w:hAnsi="Verdana"/>
                <w:szCs w:val="18"/>
                <w:lang w:val="mk-MK"/>
              </w:rPr>
              <w:t xml:space="preserve">н, поради што е 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потребно да се 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побар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а 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експедитивно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 зачувување на исти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о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>т.</w:t>
            </w:r>
            <w:r w:rsidR="008E4D2C" w:rsidRPr="00C23C86">
              <w:rPr>
                <w:rFonts w:ascii="Verdana" w:eastAsia="Times New Roman" w:hAnsi="Verdana"/>
                <w:szCs w:val="18"/>
              </w:rPr>
              <w:t xml:space="preserve"> 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>Затоа, може да биде потребно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 xml:space="preserve"> негово брз откривање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 за да се препознае правецот на комуникацијата, за да се соберат дополнителни докази пред да бидат избришани или за да идентификува осомниченото лице.</w:t>
            </w:r>
            <w:r w:rsidR="008E4D2C" w:rsidRPr="00C23C86">
              <w:rPr>
                <w:rFonts w:ascii="Verdana" w:eastAsia="Times New Roman" w:hAnsi="Verdana"/>
                <w:szCs w:val="18"/>
              </w:rPr>
              <w:t xml:space="preserve"> 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>Затоа, обичната п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остапк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а за собирање и откривање на компјутерски податоци може да биде недоволна. </w:t>
            </w:r>
            <w:r w:rsidR="008E4D2C" w:rsidRPr="00C23C86">
              <w:rPr>
                <w:rFonts w:ascii="Verdana" w:eastAsia="Times New Roman" w:hAnsi="Verdana"/>
                <w:szCs w:val="18"/>
              </w:rPr>
              <w:t xml:space="preserve"> </w:t>
            </w:r>
          </w:p>
          <w:p w14:paraId="74F9CA3C" w14:textId="0A0096DC" w:rsidR="0023008E" w:rsidRPr="00C23C86" w:rsidRDefault="00207F9E" w:rsidP="00C23C86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</w:rPr>
            </w:pP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Покрај тоа, собирањето на овие податоци се смета дека во принцип е помалку 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интрузивн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о, бидејќи не ја открива содржината на комуникацијата, која се смета 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за посензитивна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>.</w:t>
            </w:r>
            <w:r w:rsidR="008E4D2C" w:rsidRPr="00C23C86">
              <w:rPr>
                <w:rFonts w:ascii="Verdana" w:eastAsia="Times New Roman" w:hAnsi="Verdana"/>
                <w:szCs w:val="18"/>
              </w:rPr>
              <w:t xml:space="preserve"> </w:t>
            </w:r>
          </w:p>
        </w:tc>
      </w:tr>
      <w:tr w:rsidR="00F1574D" w:rsidRPr="00C23C86" w14:paraId="65F07CB5" w14:textId="77777777" w:rsidTr="00F1574D">
        <w:trPr>
          <w:trHeight w:val="1880"/>
        </w:trPr>
        <w:tc>
          <w:tcPr>
            <w:tcW w:w="1525" w:type="dxa"/>
            <w:vAlign w:val="center"/>
          </w:tcPr>
          <w:p w14:paraId="6F5AEB2D" w14:textId="39C1739B" w:rsidR="00F1574D" w:rsidRPr="00C23C86" w:rsidRDefault="008E4D2C" w:rsidP="00C23C8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23C86">
              <w:rPr>
                <w:rFonts w:ascii="Verdana" w:hAnsi="Verdana"/>
                <w:sz w:val="18"/>
                <w:szCs w:val="18"/>
              </w:rPr>
              <w:lastRenderedPageBreak/>
              <w:t>11</w:t>
            </w:r>
          </w:p>
        </w:tc>
        <w:tc>
          <w:tcPr>
            <w:tcW w:w="7485" w:type="dxa"/>
            <w:gridSpan w:val="2"/>
            <w:vAlign w:val="center"/>
          </w:tcPr>
          <w:p w14:paraId="6C8998FB" w14:textId="65F0BEB2" w:rsidR="008E4D2C" w:rsidRPr="00C23C86" w:rsidRDefault="00207F9E" w:rsidP="00C23C86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</w:rPr>
            </w:pPr>
            <w:r w:rsidRPr="00C23C86">
              <w:rPr>
                <w:rFonts w:ascii="Verdana" w:eastAsia="Times New Roman" w:hAnsi="Verdana"/>
                <w:szCs w:val="18"/>
                <w:lang w:val="mk-MK"/>
              </w:rPr>
              <w:t>Слајд за содржин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>ски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 податоци.</w:t>
            </w:r>
            <w:r w:rsidR="008E4D2C" w:rsidRPr="00C23C86">
              <w:rPr>
                <w:rFonts w:ascii="Verdana" w:eastAsia="Times New Roman" w:hAnsi="Verdana"/>
                <w:szCs w:val="18"/>
              </w:rPr>
              <w:t xml:space="preserve"> 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Конвенцијата од Будимпешта не дава </w:t>
            </w:r>
            <w:r w:rsidR="00004A76" w:rsidRPr="00C23C86">
              <w:rPr>
                <w:rFonts w:ascii="Verdana" w:eastAsia="Times New Roman" w:hAnsi="Verdana"/>
                <w:szCs w:val="18"/>
                <w:lang w:val="mk-MK"/>
              </w:rPr>
              <w:t>дефиниција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 за содржин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 xml:space="preserve">ските 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>податоци.</w:t>
            </w:r>
            <w:r w:rsidR="008E4D2C" w:rsidRPr="00C23C86">
              <w:rPr>
                <w:rFonts w:ascii="Verdana" w:eastAsia="Times New Roman" w:hAnsi="Verdana"/>
                <w:szCs w:val="18"/>
                <w:lang w:val="en-US"/>
              </w:rPr>
              <w:t xml:space="preserve"> </w:t>
            </w:r>
            <w:r w:rsidR="00004A76" w:rsidRPr="00C23C86">
              <w:rPr>
                <w:rFonts w:ascii="Verdana" w:eastAsia="Times New Roman" w:hAnsi="Verdana"/>
                <w:szCs w:val="18"/>
                <w:lang w:val="mk-MK"/>
              </w:rPr>
              <w:t>Меѓутоа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>, постојат број различни правни извори што даваат слични описи на поимот „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 xml:space="preserve">содржински 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>податоци“.</w:t>
            </w:r>
          </w:p>
          <w:p w14:paraId="649FEA68" w14:textId="35C55E6C" w:rsidR="0045500D" w:rsidRPr="00C23C86" w:rsidRDefault="00207F9E" w:rsidP="00C23C86">
            <w:pPr>
              <w:pStyle w:val="Subtitle"/>
              <w:spacing w:before="120" w:line="260" w:lineRule="atLeast"/>
              <w:rPr>
                <w:rFonts w:ascii="Verdana" w:eastAsia="Times New Roman" w:hAnsi="Verdana"/>
                <w:szCs w:val="18"/>
              </w:rPr>
            </w:pPr>
            <w:r w:rsidRPr="00C23C86">
              <w:rPr>
                <w:rFonts w:ascii="Verdana" w:eastAsia="Times New Roman" w:hAnsi="Verdana"/>
                <w:szCs w:val="18"/>
                <w:lang w:val="mk-MK"/>
              </w:rPr>
              <w:t>Сите описи и дефиниции се согласуваат дека</w:t>
            </w:r>
            <w:r w:rsidR="004E6EE2" w:rsidRPr="00C23C86">
              <w:rPr>
                <w:rFonts w:ascii="Verdana" w:eastAsia="Times New Roman" w:hAnsi="Verdana"/>
                <w:szCs w:val="18"/>
                <w:lang w:val="mk-MK"/>
              </w:rPr>
              <w:t xml:space="preserve"> содржинските</w:t>
            </w:r>
            <w:r w:rsidRPr="00C23C86">
              <w:rPr>
                <w:rFonts w:ascii="Verdana" w:eastAsia="Times New Roman" w:hAnsi="Verdana"/>
                <w:szCs w:val="18"/>
                <w:lang w:val="mk-MK"/>
              </w:rPr>
              <w:t xml:space="preserve"> податоци ја претставуваат „внатрешноста“ на датотеката што се испраќа преку мрежата.</w:t>
            </w:r>
          </w:p>
        </w:tc>
      </w:tr>
      <w:tr w:rsidR="00F1574D" w:rsidRPr="00C23C86" w14:paraId="15587DD6" w14:textId="77777777" w:rsidTr="00F1574D">
        <w:trPr>
          <w:trHeight w:val="1916"/>
        </w:trPr>
        <w:tc>
          <w:tcPr>
            <w:tcW w:w="1525" w:type="dxa"/>
            <w:vAlign w:val="center"/>
          </w:tcPr>
          <w:p w14:paraId="65C32028" w14:textId="6649630B" w:rsidR="00F1574D" w:rsidRPr="00C23C86" w:rsidRDefault="008E4D2C" w:rsidP="00C23C8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23C86"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7485" w:type="dxa"/>
            <w:gridSpan w:val="2"/>
            <w:vAlign w:val="center"/>
          </w:tcPr>
          <w:p w14:paraId="182F2970" w14:textId="492441D3" w:rsidR="008E4D2C" w:rsidRPr="00C23C86" w:rsidRDefault="00207F9E" w:rsidP="00C23C86">
            <w:pPr>
              <w:pStyle w:val="Subtitle"/>
              <w:spacing w:before="120" w:line="260" w:lineRule="atLeast"/>
              <w:rPr>
                <w:rFonts w:ascii="Verdana" w:eastAsia="Times New Roman" w:hAnsi="Verdana"/>
              </w:rPr>
            </w:pPr>
            <w:r w:rsidRPr="00C23C86">
              <w:rPr>
                <w:rFonts w:ascii="Verdana" w:eastAsia="Times New Roman" w:hAnsi="Verdana"/>
                <w:lang w:val="mk-MK"/>
              </w:rPr>
              <w:t xml:space="preserve">Слајд за </w:t>
            </w:r>
            <w:r w:rsidR="00B77286" w:rsidRPr="00C23C86">
              <w:rPr>
                <w:rFonts w:ascii="Verdana" w:eastAsia="Times New Roman" w:hAnsi="Verdana"/>
                <w:lang w:val="mk-MK"/>
              </w:rPr>
              <w:t>податоци на облак.</w:t>
            </w:r>
            <w:r w:rsidR="008E4D2C" w:rsidRPr="00C23C86">
              <w:rPr>
                <w:rFonts w:ascii="Verdana" w:eastAsia="Times New Roman" w:hAnsi="Verdana"/>
              </w:rPr>
              <w:t xml:space="preserve"> </w:t>
            </w:r>
            <w:r w:rsidR="00B77286" w:rsidRPr="00C23C86">
              <w:rPr>
                <w:rFonts w:ascii="Verdana" w:eastAsia="Times New Roman" w:hAnsi="Verdana"/>
                <w:lang w:val="mk-MK"/>
              </w:rPr>
              <w:t>Пресметување во облак е достапноста на барање на компјутерски системски ресурси, особено складирање на податоци (складирање на облак) и моќта на пресметување, без директно и активно управување од страна на корисникот.</w:t>
            </w:r>
            <w:r w:rsidR="008E4D2C" w:rsidRPr="00C23C86">
              <w:rPr>
                <w:rFonts w:ascii="Verdana" w:eastAsia="Times New Roman" w:hAnsi="Verdana"/>
              </w:rPr>
              <w:t xml:space="preserve"> </w:t>
            </w:r>
            <w:r w:rsidR="004E6EE2" w:rsidRPr="00C23C86">
              <w:rPr>
                <w:rFonts w:ascii="Verdana" w:eastAsia="Times New Roman" w:hAnsi="Verdana"/>
                <w:lang w:val="mk-MK"/>
              </w:rPr>
              <w:t>Поим</w:t>
            </w:r>
            <w:r w:rsidR="00B77286" w:rsidRPr="00C23C86">
              <w:rPr>
                <w:rFonts w:ascii="Verdana" w:eastAsia="Times New Roman" w:hAnsi="Verdana"/>
                <w:lang w:val="mk-MK"/>
              </w:rPr>
              <w:t xml:space="preserve">от генерално се користи за да се опишат </w:t>
            </w:r>
            <w:r w:rsidR="004E6EE2" w:rsidRPr="00C23C86">
              <w:rPr>
                <w:rFonts w:ascii="Verdana" w:eastAsia="Times New Roman" w:hAnsi="Verdana"/>
                <w:lang w:val="mk-MK"/>
              </w:rPr>
              <w:t xml:space="preserve">податочните </w:t>
            </w:r>
            <w:r w:rsidR="00B77286" w:rsidRPr="00C23C86">
              <w:rPr>
                <w:rFonts w:ascii="Verdana" w:eastAsia="Times New Roman" w:hAnsi="Verdana"/>
                <w:lang w:val="mk-MK"/>
              </w:rPr>
              <w:t>центри достапни на многу корисници преку интернет.</w:t>
            </w:r>
            <w:r w:rsidR="008E4D2C" w:rsidRPr="00C23C86">
              <w:rPr>
                <w:rFonts w:ascii="Verdana" w:eastAsia="Times New Roman" w:hAnsi="Verdana"/>
              </w:rPr>
              <w:t xml:space="preserve"> </w:t>
            </w:r>
          </w:p>
          <w:p w14:paraId="64556E46" w14:textId="20E4BE2D" w:rsidR="008E4D2C" w:rsidRPr="00C23C86" w:rsidRDefault="00B77286" w:rsidP="00C23C86">
            <w:pPr>
              <w:pStyle w:val="Subtitle"/>
              <w:spacing w:before="120" w:line="260" w:lineRule="atLeast"/>
              <w:rPr>
                <w:rFonts w:ascii="Verdana" w:eastAsia="Times New Roman" w:hAnsi="Verdana"/>
              </w:rPr>
            </w:pPr>
            <w:r w:rsidRPr="00C23C86">
              <w:rPr>
                <w:rFonts w:ascii="Verdana" w:eastAsia="Times New Roman" w:hAnsi="Verdana"/>
                <w:lang w:val="mk-MK"/>
              </w:rPr>
              <w:t>Големите облаци кои се доминантни денес, често имаат функции распоредени на повеќе локации од централните сервиси.</w:t>
            </w:r>
            <w:r w:rsidR="008E4D2C" w:rsidRPr="00C23C86">
              <w:rPr>
                <w:rFonts w:ascii="Verdana" w:eastAsia="Times New Roman" w:hAnsi="Verdana"/>
              </w:rPr>
              <w:t xml:space="preserve"> </w:t>
            </w:r>
            <w:r w:rsidRPr="00C23C86">
              <w:rPr>
                <w:rFonts w:ascii="Verdana" w:eastAsia="Times New Roman" w:hAnsi="Verdana"/>
                <w:lang w:val="mk-MK"/>
              </w:rPr>
              <w:t xml:space="preserve">Ако врската до корисникот е релативно блиска, на истата ќе </w:t>
            </w:r>
            <w:r w:rsidR="00004A76" w:rsidRPr="00C23C86">
              <w:rPr>
                <w:rFonts w:ascii="Verdana" w:eastAsia="Times New Roman" w:hAnsi="Verdana"/>
                <w:lang w:val="mk-MK"/>
              </w:rPr>
              <w:t xml:space="preserve">ѝ </w:t>
            </w:r>
            <w:r w:rsidRPr="00C23C86">
              <w:rPr>
                <w:rFonts w:ascii="Verdana" w:eastAsia="Times New Roman" w:hAnsi="Verdana"/>
                <w:lang w:val="mk-MK"/>
              </w:rPr>
              <w:t xml:space="preserve">биде </w:t>
            </w:r>
            <w:r w:rsidR="004E6EE2" w:rsidRPr="00C23C86">
              <w:rPr>
                <w:rFonts w:ascii="Verdana" w:eastAsia="Times New Roman" w:hAnsi="Verdana"/>
                <w:lang w:val="mk-MK"/>
              </w:rPr>
              <w:t>додел</w:t>
            </w:r>
            <w:r w:rsidRPr="00C23C86">
              <w:rPr>
                <w:rFonts w:ascii="Verdana" w:eastAsia="Times New Roman" w:hAnsi="Verdana"/>
                <w:lang w:val="mk-MK"/>
              </w:rPr>
              <w:t>ен</w:t>
            </w:r>
            <w:r w:rsidR="004E6EE2" w:rsidRPr="00C23C86">
              <w:rPr>
                <w:rFonts w:ascii="Verdana" w:eastAsia="Times New Roman" w:hAnsi="Verdana"/>
                <w:lang w:val="mk-MK"/>
              </w:rPr>
              <w:t xml:space="preserve"> т.н.</w:t>
            </w:r>
            <w:r w:rsidRPr="00C23C86">
              <w:rPr>
                <w:rFonts w:ascii="Verdana" w:eastAsia="Times New Roman" w:hAnsi="Verdana"/>
                <w:lang w:val="mk-MK"/>
              </w:rPr>
              <w:t xml:space="preserve"> </w:t>
            </w:r>
            <w:r w:rsidRPr="00C23C86">
              <w:rPr>
                <w:rFonts w:ascii="Verdana" w:eastAsia="Times New Roman" w:hAnsi="Verdana"/>
                <w:i/>
                <w:iCs w:val="0"/>
                <w:lang w:val="mk-MK"/>
              </w:rPr>
              <w:t>edge</w:t>
            </w:r>
            <w:r w:rsidR="004E6EE2" w:rsidRPr="00C23C86">
              <w:rPr>
                <w:rFonts w:ascii="Verdana" w:eastAsia="Times New Roman" w:hAnsi="Verdana"/>
                <w:lang w:val="mk-MK"/>
              </w:rPr>
              <w:t>-</w:t>
            </w:r>
            <w:r w:rsidRPr="00C23C86">
              <w:rPr>
                <w:rFonts w:ascii="Verdana" w:eastAsia="Times New Roman" w:hAnsi="Verdana"/>
                <w:lang w:val="mk-MK"/>
              </w:rPr>
              <w:t>сервер</w:t>
            </w:r>
            <w:r w:rsidR="004E6EE2" w:rsidRPr="00C23C86">
              <w:rPr>
                <w:rFonts w:ascii="Verdana" w:eastAsia="Times New Roman" w:hAnsi="Verdana"/>
                <w:lang w:val="mk-MK"/>
              </w:rPr>
              <w:t xml:space="preserve"> (сервер на крајниот периметар од мрежата)</w:t>
            </w:r>
            <w:r w:rsidRPr="00C23C86">
              <w:rPr>
                <w:rFonts w:ascii="Verdana" w:eastAsia="Times New Roman" w:hAnsi="Verdana"/>
                <w:lang w:val="mk-MK"/>
              </w:rPr>
              <w:t>.</w:t>
            </w:r>
          </w:p>
          <w:p w14:paraId="09B58FC0" w14:textId="66AF562F" w:rsidR="0023008E" w:rsidRPr="00C23C86" w:rsidRDefault="00B77286" w:rsidP="00C23C86">
            <w:pPr>
              <w:pStyle w:val="Subtitle"/>
              <w:spacing w:before="120" w:line="260" w:lineRule="atLeast"/>
              <w:rPr>
                <w:rFonts w:ascii="Verdana" w:eastAsia="Times New Roman" w:hAnsi="Verdana"/>
              </w:rPr>
            </w:pPr>
            <w:r w:rsidRPr="00C23C86">
              <w:rPr>
                <w:rFonts w:ascii="Verdana" w:eastAsia="Times New Roman" w:hAnsi="Verdana"/>
                <w:lang w:val="mk-MK"/>
              </w:rPr>
              <w:t>Облаците можат да бидат ограничени на една организација (облаци на претпријатија) или да бидат достапни за повеќе организации (јавен облак).</w:t>
            </w:r>
            <w:r w:rsidR="008E4D2C" w:rsidRPr="00C23C86">
              <w:rPr>
                <w:rFonts w:ascii="Verdana" w:eastAsia="Times New Roman" w:hAnsi="Verdana"/>
              </w:rPr>
              <w:t xml:space="preserve"> </w:t>
            </w:r>
          </w:p>
        </w:tc>
      </w:tr>
      <w:tr w:rsidR="00F1574D" w:rsidRPr="00C23C86" w14:paraId="4F010995" w14:textId="77777777" w:rsidTr="006B6FDF">
        <w:trPr>
          <w:trHeight w:val="440"/>
        </w:trPr>
        <w:tc>
          <w:tcPr>
            <w:tcW w:w="1525" w:type="dxa"/>
            <w:vAlign w:val="center"/>
          </w:tcPr>
          <w:p w14:paraId="48504862" w14:textId="6F8A2AC7" w:rsidR="00556D69" w:rsidRPr="00C23C86" w:rsidRDefault="00B77286" w:rsidP="00C23C8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13 до 17</w:t>
            </w:r>
          </w:p>
        </w:tc>
        <w:tc>
          <w:tcPr>
            <w:tcW w:w="7485" w:type="dxa"/>
            <w:gridSpan w:val="2"/>
            <w:vAlign w:val="center"/>
          </w:tcPr>
          <w:p w14:paraId="55DD8F80" w14:textId="22980F1A" w:rsidR="0023008E" w:rsidRPr="00C23C86" w:rsidRDefault="00B77286" w:rsidP="00C23C86">
            <w:pPr>
              <w:pStyle w:val="Subtitle"/>
              <w:spacing w:before="120" w:line="260" w:lineRule="atLeast"/>
              <w:rPr>
                <w:rFonts w:ascii="Verdana" w:eastAsia="MS PGothic" w:hAnsi="Verdana" w:cs="MS PGothic"/>
                <w:kern w:val="24"/>
                <w:lang w:eastAsia="en-GB"/>
              </w:rPr>
            </w:pPr>
            <w:r w:rsidRPr="00C23C86">
              <w:rPr>
                <w:rFonts w:ascii="Verdana" w:eastAsia="Times New Roman" w:hAnsi="Verdana"/>
                <w:lang w:val="mk-MK"/>
              </w:rPr>
              <w:t>Овие слајдови презентираат електронски докази за предизвиците, акциите и другите форми на заемна помош што се однесува на ЗПП.</w:t>
            </w:r>
          </w:p>
          <w:p w14:paraId="66634158" w14:textId="15B73109" w:rsidR="008E4D2C" w:rsidRPr="00C23C86" w:rsidRDefault="00B77286" w:rsidP="00C23C86">
            <w:pPr>
              <w:pStyle w:val="Subtitle"/>
              <w:spacing w:before="120" w:line="260" w:lineRule="atLeast"/>
              <w:rPr>
                <w:rFonts w:ascii="Verdana" w:eastAsia="Times New Roman" w:hAnsi="Verdana"/>
              </w:rPr>
            </w:pPr>
            <w:r w:rsidRPr="00C23C86">
              <w:rPr>
                <w:rFonts w:ascii="Verdana" w:eastAsia="Times New Roman" w:hAnsi="Verdana"/>
                <w:lang w:val="mk-MK"/>
              </w:rPr>
              <w:t>Некои од најважните предизвици во врска со</w:t>
            </w:r>
            <w:r w:rsidR="004E6EE2" w:rsidRPr="00C23C86">
              <w:rPr>
                <w:rFonts w:ascii="Verdana" w:eastAsia="Times New Roman" w:hAnsi="Verdana"/>
                <w:lang w:val="mk-MK"/>
              </w:rPr>
              <w:t xml:space="preserve"> обезбеду</w:t>
            </w:r>
            <w:r w:rsidRPr="00C23C86">
              <w:rPr>
                <w:rFonts w:ascii="Verdana" w:eastAsia="Times New Roman" w:hAnsi="Verdana"/>
                <w:lang w:val="mk-MK"/>
              </w:rPr>
              <w:t>вањето на електронски докази преку заемна правна помош во кривичните предмети.</w:t>
            </w:r>
            <w:r w:rsidR="008E4D2C" w:rsidRPr="00C23C86">
              <w:rPr>
                <w:rFonts w:ascii="Verdana" w:eastAsia="Times New Roman" w:hAnsi="Verdana"/>
                <w:lang w:val="en-US"/>
              </w:rPr>
              <w:t xml:space="preserve"> </w:t>
            </w:r>
            <w:r w:rsidRPr="00C23C86">
              <w:rPr>
                <w:rFonts w:ascii="Verdana" w:eastAsia="Times New Roman" w:hAnsi="Verdana"/>
                <w:lang w:val="mk-MK"/>
              </w:rPr>
              <w:t xml:space="preserve">Аспектите на предизвиците им беа презентирани на </w:t>
            </w:r>
            <w:r w:rsidR="004E6EE2" w:rsidRPr="00C23C86">
              <w:rPr>
                <w:rFonts w:ascii="Verdana" w:eastAsia="Times New Roman" w:hAnsi="Verdana"/>
                <w:lang w:val="mk-MK"/>
              </w:rPr>
              <w:t>претставници</w:t>
            </w:r>
            <w:r w:rsidRPr="00C23C86">
              <w:rPr>
                <w:rFonts w:ascii="Verdana" w:eastAsia="Times New Roman" w:hAnsi="Verdana"/>
                <w:lang w:val="mk-MK"/>
              </w:rPr>
              <w:t>те за време на Воведната обука.</w:t>
            </w:r>
          </w:p>
          <w:p w14:paraId="4AF5B3D7" w14:textId="568AADFF" w:rsidR="0023008E" w:rsidRPr="00C23C86" w:rsidRDefault="00B77286" w:rsidP="00C23C86">
            <w:pPr>
              <w:pStyle w:val="Subtitle"/>
              <w:spacing w:before="120" w:line="260" w:lineRule="atLeast"/>
              <w:rPr>
                <w:rFonts w:ascii="Verdana" w:eastAsia="Times New Roman" w:hAnsi="Verdana"/>
              </w:rPr>
            </w:pPr>
            <w:r w:rsidRPr="00C23C86">
              <w:rPr>
                <w:rFonts w:ascii="Verdana" w:eastAsia="Times New Roman" w:hAnsi="Verdana"/>
                <w:lang w:val="mk-MK"/>
              </w:rPr>
              <w:t>Други форми на заемна правна помош што им се располагање на обвинителите и судиите.</w:t>
            </w:r>
            <w:r w:rsidR="008E4D2C" w:rsidRPr="00C23C86">
              <w:rPr>
                <w:rFonts w:ascii="Verdana" w:eastAsia="Times New Roman" w:hAnsi="Verdana"/>
                <w:lang w:val="en-US"/>
              </w:rPr>
              <w:t xml:space="preserve"> </w:t>
            </w:r>
            <w:r w:rsidRPr="00C23C86">
              <w:rPr>
                <w:rFonts w:ascii="Verdana" w:eastAsia="Times New Roman" w:hAnsi="Verdana"/>
                <w:lang w:val="mk-MK"/>
              </w:rPr>
              <w:t xml:space="preserve">Некои од нив се во рамки на надлежностите на </w:t>
            </w:r>
            <w:r w:rsidR="004E6EE2" w:rsidRPr="00C23C86">
              <w:rPr>
                <w:rFonts w:ascii="Verdana" w:eastAsia="Times New Roman" w:hAnsi="Verdana"/>
                <w:lang w:val="mk-MK"/>
              </w:rPr>
              <w:t>м</w:t>
            </w:r>
            <w:r w:rsidRPr="00C23C86">
              <w:rPr>
                <w:rFonts w:ascii="Verdana" w:eastAsia="Times New Roman" w:hAnsi="Verdana"/>
                <w:lang w:val="mk-MK"/>
              </w:rPr>
              <w:t xml:space="preserve">инистерството или </w:t>
            </w:r>
            <w:r w:rsidR="004E6EE2" w:rsidRPr="00C23C86">
              <w:rPr>
                <w:rFonts w:ascii="Verdana" w:eastAsia="Times New Roman" w:hAnsi="Verdana"/>
                <w:lang w:val="mk-MK"/>
              </w:rPr>
              <w:t>секретаријатот</w:t>
            </w:r>
            <w:r w:rsidRPr="00C23C86">
              <w:rPr>
                <w:rFonts w:ascii="Verdana" w:eastAsia="Times New Roman" w:hAnsi="Verdana"/>
                <w:lang w:val="mk-MK"/>
              </w:rPr>
              <w:t xml:space="preserve"> за правда и се надвор од надлежноста на обвинителството или судот.</w:t>
            </w:r>
            <w:r w:rsidR="008E4D2C" w:rsidRPr="00C23C86">
              <w:rPr>
                <w:rFonts w:ascii="Verdana" w:eastAsia="Times New Roman" w:hAnsi="Verdana"/>
                <w:lang w:val="en-US"/>
              </w:rPr>
              <w:t xml:space="preserve"> </w:t>
            </w:r>
            <w:r w:rsidRPr="00C23C86">
              <w:rPr>
                <w:rFonts w:ascii="Verdana" w:eastAsia="Times New Roman" w:hAnsi="Verdana"/>
                <w:lang w:val="mk-MK"/>
              </w:rPr>
              <w:t>И покрај тоа, овие власти ќе имаат некаков удел во тоа.</w:t>
            </w:r>
          </w:p>
        </w:tc>
      </w:tr>
      <w:tr w:rsidR="00F1574D" w:rsidRPr="00C23C86" w14:paraId="3C4A313A" w14:textId="77777777" w:rsidTr="00F1574D">
        <w:trPr>
          <w:trHeight w:val="890"/>
        </w:trPr>
        <w:tc>
          <w:tcPr>
            <w:tcW w:w="1525" w:type="dxa"/>
            <w:vAlign w:val="center"/>
          </w:tcPr>
          <w:p w14:paraId="00098EC4" w14:textId="21DF7083" w:rsidR="00F1574D" w:rsidRPr="00C23C86" w:rsidRDefault="00B77286" w:rsidP="00C23C8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  <w:lang w:val="sr-Cyrl-RS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18 до 28</w:t>
            </w:r>
          </w:p>
        </w:tc>
        <w:tc>
          <w:tcPr>
            <w:tcW w:w="7485" w:type="dxa"/>
            <w:gridSpan w:val="2"/>
            <w:vAlign w:val="center"/>
          </w:tcPr>
          <w:p w14:paraId="3F7CC308" w14:textId="13EC0A63" w:rsidR="00556D69" w:rsidRPr="00C23C86" w:rsidRDefault="00A85F01" w:rsidP="00C23C86">
            <w:pPr>
              <w:pStyle w:val="Subtitle"/>
              <w:spacing w:before="120" w:line="260" w:lineRule="atLeast"/>
              <w:rPr>
                <w:rFonts w:ascii="Verdana" w:eastAsia="Times New Roman" w:hAnsi="Verdana"/>
                <w:lang w:val="sr-Cyrl-RS"/>
              </w:rPr>
            </w:pPr>
            <w:r w:rsidRPr="00C23C86">
              <w:rPr>
                <w:rFonts w:ascii="Verdana" w:eastAsia="Times New Roman" w:hAnsi="Verdana"/>
                <w:lang w:val="mk-MK"/>
              </w:rPr>
              <w:t>Овие слајдови ги претставуваат можните поставувања на надлежните органи на ЗПП.</w:t>
            </w:r>
          </w:p>
          <w:p w14:paraId="3C8E6EA2" w14:textId="6C187275" w:rsidR="008E4D2C" w:rsidRPr="00C23C86" w:rsidRDefault="00A85F01" w:rsidP="00C23C86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  <w:lang w:val="sr-Cyrl-RS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Постојат различни пристапи за поставување на централните и извршните власти за Заемна правна помош.</w:t>
            </w:r>
            <w:r w:rsidR="008E4D2C" w:rsidRPr="00C23C86">
              <w:rPr>
                <w:rFonts w:ascii="Verdana" w:hAnsi="Verdana"/>
                <w:sz w:val="18"/>
                <w:szCs w:val="18"/>
                <w:lang w:val="sr-Cyrl-RS"/>
              </w:rPr>
              <w:t xml:space="preserve"> 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Во зависност од домашната правна рамка, вклучувајќи ги усвоените меѓународни договори, поставката може да варира.</w:t>
            </w:r>
            <w:r w:rsidR="008E4D2C" w:rsidRPr="00C23C86">
              <w:rPr>
                <w:rFonts w:ascii="Verdana" w:hAnsi="Verdana"/>
                <w:sz w:val="18"/>
                <w:szCs w:val="18"/>
                <w:lang w:val="sr-Cyrl-RS"/>
              </w:rPr>
              <w:t xml:space="preserve"> </w:t>
            </w:r>
          </w:p>
          <w:p w14:paraId="7EC831F0" w14:textId="77A132E1" w:rsidR="008E4D2C" w:rsidRPr="00C23C86" w:rsidRDefault="00A85F01" w:rsidP="00C23C86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  <w:lang w:val="sr-Cyrl-RS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Министерството или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секретаријатот 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за правда е обично централниот орган за заемна правна помош.</w:t>
            </w:r>
            <w:r w:rsidR="008E4D2C" w:rsidRPr="00C23C86">
              <w:rPr>
                <w:rFonts w:ascii="Verdana" w:hAnsi="Verdana"/>
                <w:sz w:val="18"/>
                <w:szCs w:val="18"/>
                <w:lang w:val="sr-Cyrl-RS"/>
              </w:rPr>
              <w:t xml:space="preserve"> </w:t>
            </w:r>
            <w:r w:rsidR="008E02C6" w:rsidRPr="00C23C86">
              <w:rPr>
                <w:rFonts w:ascii="Verdana" w:hAnsi="Verdana"/>
                <w:sz w:val="18"/>
                <w:szCs w:val="18"/>
                <w:lang w:val="mk-MK"/>
              </w:rPr>
              <w:t>Сепак, поради различните аспекти на правната и логистичката поставеност на органот, постојат предизвици со кои се соочува ов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>ој систем, а</w:t>
            </w:r>
            <w:r w:rsidR="008E02C6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кои треба да се забележат.</w:t>
            </w:r>
          </w:p>
          <w:p w14:paraId="2ABAD9C0" w14:textId="584A8FF2" w:rsidR="008E4D2C" w:rsidRPr="00C23C86" w:rsidRDefault="004E6EE2" w:rsidP="00C23C86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  <w:lang w:val="sr-Cyrl-RS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lastRenderedPageBreak/>
              <w:t>Органите за с</w:t>
            </w:r>
            <w:r w:rsidR="008E02C6" w:rsidRPr="00C23C86">
              <w:rPr>
                <w:rFonts w:ascii="Verdana" w:hAnsi="Verdana"/>
                <w:sz w:val="18"/>
                <w:szCs w:val="18"/>
                <w:lang w:val="mk-MK"/>
              </w:rPr>
              <w:t>проведувањето на законот, главно полицијата, има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ат</w:t>
            </w:r>
            <w:r w:rsidR="008E02C6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одредено овластување во врска со процесот на ЗПП.</w:t>
            </w:r>
            <w:r w:rsidR="008E4D2C" w:rsidRPr="00C23C86">
              <w:rPr>
                <w:rFonts w:ascii="Verdana" w:hAnsi="Verdana"/>
                <w:sz w:val="18"/>
                <w:szCs w:val="18"/>
                <w:lang w:val="sr-Cyrl-RS"/>
              </w:rPr>
              <w:t xml:space="preserve"> </w:t>
            </w:r>
            <w:r w:rsidR="008E02C6" w:rsidRPr="00C23C86">
              <w:rPr>
                <w:rFonts w:ascii="Verdana" w:hAnsi="Verdana"/>
                <w:sz w:val="18"/>
                <w:szCs w:val="18"/>
                <w:lang w:val="mk-MK"/>
              </w:rPr>
              <w:t>Сепак, тоа силно варира од земја до земја.</w:t>
            </w:r>
            <w:r w:rsidR="008E4D2C" w:rsidRPr="00C23C86">
              <w:rPr>
                <w:rFonts w:ascii="Verdana" w:hAnsi="Verdana"/>
                <w:sz w:val="18"/>
                <w:szCs w:val="18"/>
                <w:lang w:val="sr-Cyrl-RS"/>
              </w:rPr>
              <w:t xml:space="preserve"> </w:t>
            </w:r>
            <w:r w:rsidR="001D7E1A" w:rsidRPr="00C23C86">
              <w:rPr>
                <w:rFonts w:ascii="Verdana" w:hAnsi="Verdana"/>
                <w:sz w:val="18"/>
                <w:szCs w:val="18"/>
                <w:lang w:val="mk-MK"/>
              </w:rPr>
              <w:t>З</w:t>
            </w:r>
            <w:r w:rsidR="008E02C6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емјите </w:t>
            </w:r>
            <w:r w:rsidR="001D7E1A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со 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обичај</w:t>
            </w:r>
            <w:r w:rsidR="001D7E1A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но право </w:t>
            </w:r>
            <w:r w:rsidR="008E02C6" w:rsidRPr="00C23C86">
              <w:rPr>
                <w:rFonts w:ascii="Verdana" w:hAnsi="Verdana"/>
                <w:sz w:val="18"/>
                <w:szCs w:val="18"/>
                <w:lang w:val="mk-MK"/>
              </w:rPr>
              <w:t>главно г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и</w:t>
            </w:r>
            <w:r w:rsidR="008E02C6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овластуваат 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органите за </w:t>
            </w:r>
            <w:r w:rsidR="008E02C6" w:rsidRPr="00C23C86">
              <w:rPr>
                <w:rFonts w:ascii="Verdana" w:hAnsi="Verdana"/>
                <w:sz w:val="18"/>
                <w:szCs w:val="18"/>
                <w:lang w:val="mk-MK"/>
              </w:rPr>
              <w:t>спроведување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то</w:t>
            </w:r>
            <w:r w:rsidR="008E02C6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на законот за активно да учествуваат во барањето или обезбедувањето информации или докази во врска со случаите на сајбер-криминал.</w:t>
            </w:r>
            <w:r w:rsidR="008E4D2C" w:rsidRPr="00C23C86">
              <w:rPr>
                <w:rFonts w:ascii="Verdana" w:hAnsi="Verdana"/>
                <w:sz w:val="18"/>
                <w:szCs w:val="18"/>
                <w:lang w:val="sr-Cyrl-RS"/>
              </w:rPr>
              <w:t xml:space="preserve"> </w:t>
            </w:r>
            <w:r w:rsidR="008E02C6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Тоа не е случај со земјите </w:t>
            </w:r>
            <w:r w:rsidR="00A932E7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со граѓанско право </w:t>
            </w:r>
            <w:r w:rsidR="008E02C6" w:rsidRPr="00C23C86">
              <w:rPr>
                <w:rFonts w:ascii="Verdana" w:hAnsi="Verdana"/>
                <w:sz w:val="18"/>
                <w:szCs w:val="18"/>
                <w:lang w:val="mk-MK"/>
              </w:rPr>
              <w:t>каде што ова овластување речиси целосно м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у</w:t>
            </w:r>
            <w:r w:rsidR="008E02C6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припаѓа на обвинителството или на судот.</w:t>
            </w:r>
          </w:p>
          <w:p w14:paraId="60F2D7EC" w14:textId="61FA0297" w:rsidR="008E4D2C" w:rsidRPr="00C23C86" w:rsidRDefault="008E02C6" w:rsidP="00C23C86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  <w:lang w:val="sr-Cyrl-RS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Обвинителството и судот имаат растечки одговорности во областа на ЗПП.</w:t>
            </w:r>
            <w:r w:rsidR="008E4D2C" w:rsidRPr="00C23C86">
              <w:rPr>
                <w:rFonts w:ascii="Verdana" w:hAnsi="Verdana"/>
                <w:sz w:val="18"/>
                <w:szCs w:val="18"/>
                <w:lang w:val="sr-Cyrl-RS"/>
              </w:rPr>
              <w:t xml:space="preserve"> </w:t>
            </w:r>
            <w:r w:rsidR="00F87701" w:rsidRPr="00C23C86">
              <w:rPr>
                <w:rFonts w:ascii="Verdana" w:hAnsi="Verdana"/>
                <w:sz w:val="18"/>
                <w:szCs w:val="18"/>
                <w:lang w:val="mk-MK"/>
              </w:rPr>
              <w:t>Земјите сè повеќе сфаќаат дека брзото и суштинско извршување на заемната прав</w:t>
            </w:r>
            <w:r w:rsidR="00A932E7" w:rsidRPr="00C23C86">
              <w:rPr>
                <w:rFonts w:ascii="Verdana" w:hAnsi="Verdana"/>
                <w:sz w:val="18"/>
                <w:szCs w:val="18"/>
                <w:lang w:val="mk-MK"/>
              </w:rPr>
              <w:t>на помош, како административна</w:t>
            </w:r>
            <w:r w:rsidR="00F87701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или целосна помош, може да биде обезбеде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>но преку</w:t>
            </w:r>
            <w:r w:rsidR="00F87701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судските органи, бидејќи </w:t>
            </w:r>
            <w:r w:rsidR="00A932E7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од една страна, 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>со тоа се</w:t>
            </w:r>
            <w:r w:rsidR="00F87701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премостуваат надлежностите и </w:t>
            </w:r>
            <w:r w:rsidR="00A932E7" w:rsidRPr="00C23C86">
              <w:rPr>
                <w:rFonts w:ascii="Verdana" w:hAnsi="Verdana"/>
                <w:sz w:val="18"/>
                <w:szCs w:val="18"/>
                <w:lang w:val="mk-MK"/>
              </w:rPr>
              <w:t>судските надлежности</w:t>
            </w:r>
            <w:r w:rsidR="00F87701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помеѓу многу учесници во овој процес, а од друга страна, 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>истите</w:t>
            </w:r>
            <w:r w:rsidR="00F87701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се гаранти на безбедносните мерки што треба да се спроведат.</w:t>
            </w:r>
          </w:p>
          <w:p w14:paraId="40ED0486" w14:textId="404C94B3" w:rsidR="008E4D2C" w:rsidRPr="00C23C86" w:rsidRDefault="00A932E7" w:rsidP="00C23C86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  <w:lang w:val="sr-Cyrl-RS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Земјите со граѓанско право</w:t>
            </w:r>
            <w:r w:rsidR="00F87701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претежно го 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имаат </w:t>
            </w:r>
            <w:r w:rsidR="00F87701" w:rsidRPr="00C23C86">
              <w:rPr>
                <w:rFonts w:ascii="Verdana" w:hAnsi="Verdana"/>
                <w:sz w:val="18"/>
                <w:szCs w:val="18"/>
                <w:lang w:val="mk-MK"/>
              </w:rPr>
              <w:t>усво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>ено</w:t>
            </w:r>
            <w:r w:rsidR="00F87701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системот во кој 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>ј</w:t>
            </w:r>
            <w:r w:rsidR="00F87701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авното обвинителство или 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>и</w:t>
            </w:r>
            <w:r w:rsidR="00F87701" w:rsidRPr="00C23C86">
              <w:rPr>
                <w:rFonts w:ascii="Verdana" w:hAnsi="Verdana"/>
                <w:sz w:val="18"/>
                <w:szCs w:val="18"/>
                <w:lang w:val="mk-MK"/>
              </w:rPr>
              <w:t>стражнот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>о</w:t>
            </w:r>
            <w:r w:rsidR="00F87701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оддел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>ение</w:t>
            </w:r>
            <w:r w:rsidR="00F87701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на судот имаат надлежен орган за истрага, 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>а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</w:t>
            </w:r>
            <w:r w:rsidR="00F87701" w:rsidRPr="00C23C86">
              <w:rPr>
                <w:rFonts w:ascii="Verdana" w:hAnsi="Verdana"/>
                <w:sz w:val="18"/>
                <w:szCs w:val="18"/>
                <w:lang w:val="mk-MK"/>
              </w:rPr>
              <w:t>полицијата ги извршува своите должности под раководство или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преку</w:t>
            </w:r>
            <w:r w:rsidR="00F87701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на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>лози</w:t>
            </w:r>
            <w:r w:rsidR="00F87701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од овие органи.</w:t>
            </w:r>
          </w:p>
          <w:p w14:paraId="5FD36224" w14:textId="44ED8810" w:rsidR="008E4D2C" w:rsidRPr="00C23C86" w:rsidRDefault="00F87701" w:rsidP="00C23C86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  <w:lang w:val="sr-Cyrl-RS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Во </w:t>
            </w:r>
            <w:r w:rsidR="00A932E7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земјите со 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>обичајн</w:t>
            </w:r>
            <w:r w:rsidR="00A932E7" w:rsidRPr="00C23C86">
              <w:rPr>
                <w:rFonts w:ascii="Verdana" w:hAnsi="Verdana"/>
                <w:sz w:val="18"/>
                <w:szCs w:val="18"/>
                <w:lang w:val="mk-MK"/>
              </w:rPr>
              <w:t>о право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, системите се мешани, а класичните системи каде што полицијата </w:t>
            </w:r>
            <w:r w:rsidR="00A932E7" w:rsidRPr="00C23C86">
              <w:rPr>
                <w:rFonts w:ascii="Verdana" w:hAnsi="Verdana"/>
                <w:sz w:val="18"/>
                <w:szCs w:val="18"/>
                <w:lang w:val="mk-MK"/>
              </w:rPr>
              <w:t>ја има целата надлежност во истрага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>та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се помалку присутни од хибридните системи во кои полицијата соработува со </w:t>
            </w:r>
            <w:r w:rsidR="00A932E7" w:rsidRPr="00C23C86">
              <w:rPr>
                <w:rFonts w:ascii="Verdana" w:hAnsi="Verdana"/>
                <w:sz w:val="18"/>
                <w:szCs w:val="18"/>
                <w:lang w:val="mk-MK"/>
              </w:rPr>
              <w:t>обвинителството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и поднесува барања до судот.</w:t>
            </w:r>
          </w:p>
          <w:p w14:paraId="4B68FAA2" w14:textId="330DBEF3" w:rsidR="008E4D2C" w:rsidRPr="00C23C86" w:rsidRDefault="00F87701" w:rsidP="00C23C86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  <w:lang w:val="sr-Cyrl-RS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Сепак, обвинителството и судовите сè повеќе се вклучени во постапките за ЗПП.</w:t>
            </w:r>
          </w:p>
          <w:p w14:paraId="3FB22A96" w14:textId="6894216D" w:rsidR="008E4D2C" w:rsidRPr="00C23C86" w:rsidRDefault="004E6EE2" w:rsidP="00C23C86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  <w:lang w:val="sr-Cyrl-RS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Некои</w:t>
            </w:r>
            <w:r w:rsidR="00F87701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земји формално или ефективно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имаат</w:t>
            </w:r>
            <w:r w:rsidR="00F87701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воспостав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ено </w:t>
            </w:r>
            <w:r w:rsidR="00F87701" w:rsidRPr="00C23C86">
              <w:rPr>
                <w:rFonts w:ascii="Verdana" w:hAnsi="Verdana"/>
                <w:sz w:val="18"/>
                <w:szCs w:val="18"/>
                <w:lang w:val="mk-MK"/>
              </w:rPr>
              <w:t>точки за контакт во обвинителството (Албанија, Белгија, Франција, Италија, Малта, Маврициус, Холандија, Романија, Србија, Швајцарија, САД).</w:t>
            </w:r>
            <w:r w:rsidR="008E4D2C" w:rsidRPr="00C23C86">
              <w:rPr>
                <w:rFonts w:ascii="Verdana" w:hAnsi="Verdana"/>
                <w:sz w:val="18"/>
                <w:szCs w:val="18"/>
                <w:lang w:val="sr-Cyrl-RS"/>
              </w:rPr>
              <w:t xml:space="preserve"> </w:t>
            </w:r>
          </w:p>
          <w:p w14:paraId="09B693A1" w14:textId="0922B644" w:rsidR="008E4D2C" w:rsidRPr="00C23C86" w:rsidRDefault="00F87701" w:rsidP="00C23C86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  <w:lang w:val="sr-Cyrl-RS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Земјите преземаат </w:t>
            </w:r>
            <w:r w:rsidR="00A932E7" w:rsidRPr="00C23C86">
              <w:rPr>
                <w:rFonts w:ascii="Verdana" w:hAnsi="Verdana"/>
                <w:sz w:val="18"/>
                <w:szCs w:val="18"/>
                <w:lang w:val="mk-MK"/>
              </w:rPr>
              <w:t>разновидн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>и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чекори за подобрување на врските помеѓу канцелариите кои обработуваат барања за ЗПП, вклучително и електронски податоци.</w:t>
            </w:r>
            <w:r w:rsidR="008E4D2C" w:rsidRPr="00C23C86">
              <w:rPr>
                <w:rFonts w:ascii="Verdana" w:hAnsi="Verdana"/>
                <w:sz w:val="18"/>
                <w:szCs w:val="18"/>
                <w:lang w:val="sr-Cyrl-RS"/>
              </w:rPr>
              <w:t xml:space="preserve"> 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Тие чекори се детално објаснети во компилацијата на одговорите на страните, што </w:t>
            </w:r>
            <w:r w:rsidR="00A932E7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им 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е достапно на сите страни.</w:t>
            </w:r>
            <w:r w:rsidR="008E4D2C" w:rsidRPr="00C23C86">
              <w:rPr>
                <w:rFonts w:ascii="Verdana" w:hAnsi="Verdana"/>
                <w:sz w:val="18"/>
                <w:szCs w:val="18"/>
                <w:lang w:val="sr-Cyrl-RS"/>
              </w:rPr>
              <w:t xml:space="preserve"> 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T-CY препорачува континуиран фокус на подобрување на процесот.</w:t>
            </w:r>
            <w:r w:rsidR="008E4D2C" w:rsidRPr="00C23C86">
              <w:rPr>
                <w:rFonts w:ascii="Verdana" w:hAnsi="Verdana"/>
                <w:sz w:val="18"/>
                <w:szCs w:val="18"/>
                <w:lang w:val="sr-Cyrl-RS"/>
              </w:rPr>
              <w:t xml:space="preserve"> </w:t>
            </w:r>
            <w:r w:rsidR="002F0721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Советот на Европа – вклучително и преку проекти и во соработка со T-CY – треба да го поддржи споделувањето на искуства помеѓу 24/7 </w:t>
            </w:r>
            <w:r w:rsidR="00A932E7" w:rsidRPr="00C23C86">
              <w:rPr>
                <w:rFonts w:ascii="Verdana" w:hAnsi="Verdana"/>
                <w:sz w:val="18"/>
                <w:szCs w:val="18"/>
                <w:lang w:val="mk-MK"/>
              </w:rPr>
              <w:t>точките за контакт</w:t>
            </w:r>
            <w:r w:rsidR="002F0721" w:rsidRPr="00C23C86">
              <w:rPr>
                <w:rFonts w:ascii="Verdana" w:hAnsi="Verdana"/>
                <w:sz w:val="18"/>
                <w:szCs w:val="18"/>
                <w:lang w:val="mk-MK"/>
              </w:rPr>
              <w:t>.</w:t>
            </w:r>
            <w:r w:rsidR="008E4D2C" w:rsidRPr="00C23C86">
              <w:rPr>
                <w:rFonts w:ascii="Verdana" w:hAnsi="Verdana"/>
                <w:sz w:val="18"/>
                <w:szCs w:val="18"/>
                <w:lang w:val="sr-Cyrl-RS"/>
              </w:rPr>
              <w:t xml:space="preserve"> </w:t>
            </w:r>
            <w:r w:rsidR="002F0721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Треба да се обезбеди тесна координација со органите </w:t>
            </w:r>
            <w:r w:rsidR="00A932E7" w:rsidRPr="00C23C86">
              <w:rPr>
                <w:rFonts w:ascii="Verdana" w:hAnsi="Verdana"/>
                <w:sz w:val="18"/>
                <w:szCs w:val="18"/>
                <w:lang w:val="mk-MK"/>
              </w:rPr>
              <w:t>з</w:t>
            </w:r>
            <w:r w:rsidR="002F0721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а правда. </w:t>
            </w:r>
          </w:p>
        </w:tc>
      </w:tr>
      <w:tr w:rsidR="00F1574D" w:rsidRPr="00C23C86" w14:paraId="0425CAAD" w14:textId="77777777" w:rsidTr="00F1574D">
        <w:trPr>
          <w:trHeight w:val="1295"/>
        </w:trPr>
        <w:tc>
          <w:tcPr>
            <w:tcW w:w="1525" w:type="dxa"/>
            <w:vAlign w:val="center"/>
          </w:tcPr>
          <w:p w14:paraId="054F45E0" w14:textId="238795C4" w:rsidR="00F1574D" w:rsidRPr="00C23C86" w:rsidRDefault="002F0721" w:rsidP="00C23C8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29 до 39</w:t>
            </w:r>
          </w:p>
        </w:tc>
        <w:tc>
          <w:tcPr>
            <w:tcW w:w="7485" w:type="dxa"/>
            <w:gridSpan w:val="2"/>
            <w:vAlign w:val="center"/>
          </w:tcPr>
          <w:p w14:paraId="790396D3" w14:textId="2389399A" w:rsidR="00A31FA0" w:rsidRPr="00C23C86" w:rsidRDefault="006848B3" w:rsidP="00C23C86">
            <w:pPr>
              <w:spacing w:before="120" w:after="120" w:line="260" w:lineRule="atLeast"/>
              <w:jc w:val="both"/>
              <w:rPr>
                <w:rFonts w:ascii="Verdana" w:eastAsia="MS PGothic" w:hAnsi="Verdana" w:cs="MS PGothic"/>
                <w:b/>
                <w:bCs/>
                <w:color w:val="000000" w:themeColor="text1"/>
                <w:kern w:val="24"/>
                <w:lang w:eastAsia="en-GB"/>
              </w:rPr>
            </w:pP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Овие слајдови претставуваат практичен преглед на постапките за ЗПП.</w:t>
            </w:r>
            <w:r w:rsidR="00A31FA0" w:rsidRPr="00C23C86">
              <w:rPr>
                <w:rFonts w:ascii="Verdana" w:eastAsia="MS PGothic" w:hAnsi="Verdana" w:cs="MS PGothic"/>
                <w:b/>
                <w:bCs/>
                <w:color w:val="000000" w:themeColor="text1"/>
                <w:kern w:val="24"/>
                <w:lang w:eastAsia="en-GB"/>
              </w:rPr>
              <w:t xml:space="preserve"> </w:t>
            </w:r>
          </w:p>
          <w:p w14:paraId="4FC64CD5" w14:textId="14475331" w:rsidR="008E4D2C" w:rsidRPr="00C23C86" w:rsidRDefault="006848B3" w:rsidP="00C23C86">
            <w:pPr>
              <w:spacing w:before="120" w:after="120" w:line="260" w:lineRule="atLeast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Чекорите се самообјаснувачки и треба да им бидат добро познати на практичарите на кривично право, бидејќи одговараат на постапките </w:t>
            </w:r>
            <w:r w:rsidR="004E6EE2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од</w:t>
            </w: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 домашните случаи, со </w:t>
            </w:r>
            <w:r w:rsidR="00A932E7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дополн</w:t>
            </w:r>
            <w:r w:rsidR="004E6EE2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ување</w:t>
            </w: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 на меѓународниот елемент.</w:t>
            </w:r>
          </w:p>
          <w:p w14:paraId="057E651E" w14:textId="21803EC2" w:rsidR="008E4D2C" w:rsidRPr="00C23C86" w:rsidRDefault="006848B3" w:rsidP="00C23C86">
            <w:pPr>
              <w:spacing w:before="120" w:after="120" w:line="260" w:lineRule="atLeast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Чекор 1: </w:t>
            </w:r>
            <w:r w:rsidR="00F054BE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предуслов за на</w:t>
            </w:r>
            <w:r w:rsidR="004E6EE2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зна</w:t>
            </w:r>
            <w:r w:rsidR="00F054BE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чување на случа</w:t>
            </w:r>
            <w:r w:rsidR="00A932E7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ј</w:t>
            </w:r>
            <w:r w:rsidR="00F054BE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от како ЗПП е воспоставување на меѓународниот елемент </w:t>
            </w:r>
            <w:r w:rsidR="00A932E7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на</w:t>
            </w:r>
            <w:r w:rsidR="00F054BE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 случајот во согласност со законот.</w:t>
            </w:r>
          </w:p>
          <w:p w14:paraId="5CF9EC4A" w14:textId="60390B31" w:rsidR="008E4D2C" w:rsidRPr="00C23C86" w:rsidRDefault="00F054BE" w:rsidP="00C23C86">
            <w:pPr>
              <w:spacing w:before="120" w:after="120" w:line="260" w:lineRule="atLeast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Чекор 2: </w:t>
            </w:r>
            <w:r w:rsidR="00A932E7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органите за спроведување</w:t>
            </w:r>
            <w:r w:rsidR="004E6EE2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 на законот</w:t>
            </w:r>
            <w:r w:rsidR="000A4423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 треба темелно да го анализираат случајот и да утврдат кои факти треба да се добијат.</w:t>
            </w:r>
          </w:p>
          <w:p w14:paraId="7AEABC27" w14:textId="7F84F7E6" w:rsidR="008E4D2C" w:rsidRPr="00C23C86" w:rsidRDefault="000A4423" w:rsidP="00C23C86">
            <w:pPr>
              <w:spacing w:before="120" w:after="120" w:line="260" w:lineRule="atLeast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Чекор 3: нивото на информации може да биде различно поради различните фази на постапката.</w:t>
            </w:r>
          </w:p>
          <w:p w14:paraId="55EE1682" w14:textId="2B273ADA" w:rsidR="00556D69" w:rsidRPr="00C23C86" w:rsidRDefault="000A4423" w:rsidP="00C23C86">
            <w:pPr>
              <w:spacing w:before="120" w:after="120" w:line="260" w:lineRule="atLeast"/>
              <w:jc w:val="both"/>
              <w:rPr>
                <w:rFonts w:ascii="Verdana" w:eastAsia="Times New Roman" w:hAnsi="Verdana"/>
                <w:sz w:val="18"/>
                <w:szCs w:val="18"/>
                <w:lang w:val="en-US"/>
              </w:rPr>
            </w:pP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Чекор 4: неформалната и формалната помош се разликуваат по брзина, што беше претходно објаснето.</w:t>
            </w:r>
          </w:p>
          <w:p w14:paraId="498AF249" w14:textId="067CE3AF" w:rsidR="00000C58" w:rsidRPr="00C23C86" w:rsidRDefault="000A4423" w:rsidP="00C23C86">
            <w:pPr>
              <w:spacing w:before="120" w:after="120" w:line="260" w:lineRule="atLeast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lastRenderedPageBreak/>
              <w:t xml:space="preserve">Постојат различни варијации во пристапот кон </w:t>
            </w:r>
            <w:r w:rsidR="004E6EE2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ч</w:t>
            </w: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екор 4, во зависност од постав</w:t>
            </w:r>
            <w:r w:rsidR="004E6EE2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еноста</w:t>
            </w: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 на локалниот закон.</w:t>
            </w:r>
            <w:r w:rsidR="00000C58" w:rsidRPr="00C23C86">
              <w:rPr>
                <w:rFonts w:ascii="Verdana" w:eastAsia="Times New Roman" w:hAnsi="Verdana"/>
                <w:sz w:val="18"/>
                <w:szCs w:val="18"/>
                <w:lang w:val="en-US"/>
              </w:rPr>
              <w:t xml:space="preserve"> </w:t>
            </w: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Варијациите се во зависност од тоа колку од овластувањата на ЗПП се доделени на </w:t>
            </w:r>
            <w:r w:rsidR="004E6EE2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полициските служби</w:t>
            </w: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, </w:t>
            </w:r>
            <w:r w:rsidR="004E6EE2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обвинителства </w:t>
            </w: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или суд</w:t>
            </w:r>
            <w:r w:rsidR="004E6EE2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ови кои учествуваат</w:t>
            </w: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.</w:t>
            </w:r>
            <w:r w:rsidR="00000C58" w:rsidRPr="00C23C86">
              <w:rPr>
                <w:rFonts w:ascii="Verdana" w:eastAsia="Times New Roman" w:hAnsi="Verdana"/>
                <w:sz w:val="18"/>
                <w:szCs w:val="18"/>
                <w:lang w:val="en-US"/>
              </w:rPr>
              <w:t xml:space="preserve"> </w:t>
            </w: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Исто така, тоа зависи и од законските можности за нивно вклучување во постапки за ЗПП во и надвор од земјата.</w:t>
            </w:r>
          </w:p>
          <w:p w14:paraId="79AF0B66" w14:textId="5407D00D" w:rsidR="00000C58" w:rsidRPr="00C23C86" w:rsidRDefault="000A4423" w:rsidP="00C23C86">
            <w:pPr>
              <w:spacing w:before="120" w:after="120" w:line="260" w:lineRule="atLeast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Чекор </w:t>
            </w:r>
            <w:r w:rsidR="00A932E7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5: постапките за ЗПП можат да </w:t>
            </w: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одземаат значително многу време. </w:t>
            </w:r>
            <w:r w:rsidR="00000C58" w:rsidRPr="00C23C86">
              <w:rPr>
                <w:rFonts w:ascii="Verdana" w:eastAsia="Times New Roman" w:hAnsi="Verdana"/>
                <w:sz w:val="18"/>
                <w:szCs w:val="18"/>
                <w:lang w:val="en-US"/>
              </w:rPr>
              <w:t xml:space="preserve"> </w:t>
            </w: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Сепак, властите што чекаат не треба да зависат само од одговорот на</w:t>
            </w:r>
            <w:r w:rsidR="004E6EE2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 барањето</w:t>
            </w: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.</w:t>
            </w:r>
            <w:r w:rsidR="00000C58" w:rsidRPr="00C23C86">
              <w:rPr>
                <w:rFonts w:ascii="Verdana" w:eastAsia="Times New Roman" w:hAnsi="Verdana"/>
                <w:sz w:val="18"/>
                <w:szCs w:val="18"/>
                <w:lang w:val="en-US"/>
              </w:rPr>
              <w:t xml:space="preserve"> </w:t>
            </w: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Тие треба да дејствуваат проактивно и да ги преземат сите потребни мерки што мож</w:t>
            </w:r>
            <w:r w:rsidR="00A932E7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ат </w:t>
            </w: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да се преземат додека чекаат одговор.</w:t>
            </w:r>
            <w:r w:rsidR="00000C58" w:rsidRPr="00C23C86">
              <w:rPr>
                <w:rFonts w:ascii="Verdana" w:eastAsia="Times New Roman" w:hAnsi="Verdana"/>
                <w:sz w:val="18"/>
                <w:szCs w:val="18"/>
                <w:lang w:val="en-US"/>
              </w:rPr>
              <w:t xml:space="preserve"> </w:t>
            </w:r>
            <w:r w:rsidR="004E6EE2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Претставници</w:t>
            </w: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те треба да бидат прашани што може да биде тоа.</w:t>
            </w:r>
          </w:p>
          <w:p w14:paraId="4B554EED" w14:textId="6CBFB6FD" w:rsidR="00000C58" w:rsidRPr="00C23C86" w:rsidRDefault="000A4423" w:rsidP="00C23C86">
            <w:pPr>
              <w:spacing w:before="120" w:after="120" w:line="260" w:lineRule="atLeast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Чекор 6: </w:t>
            </w:r>
            <w:r w:rsidR="00A932E7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побараната</w:t>
            </w: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 земја го прима</w:t>
            </w:r>
            <w:r w:rsidR="004671B7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 допис со барање (</w:t>
            </w: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LoR</w:t>
            </w:r>
            <w:r w:rsidR="004E6EE2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)</w:t>
            </w: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 и започнува локална постапка што може да </w:t>
            </w:r>
            <w:r w:rsidR="00A932E7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се разликува</w:t>
            </w: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, како што е претходно опишано од страна на барателот.</w:t>
            </w:r>
          </w:p>
          <w:p w14:paraId="22C1B224" w14:textId="0DDF4A54" w:rsidR="00000C58" w:rsidRPr="00C23C86" w:rsidRDefault="000A4423" w:rsidP="00C23C86">
            <w:pPr>
              <w:spacing w:before="120" w:after="120" w:line="260" w:lineRule="atLeast"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Чекор 7: одговорот се праќа назад во согласност со локалните фактички и законски можности.</w:t>
            </w:r>
          </w:p>
          <w:p w14:paraId="7BDBD2F6" w14:textId="3E1E396D" w:rsidR="00000C58" w:rsidRPr="00C23C86" w:rsidRDefault="000A4423" w:rsidP="00C23C86">
            <w:pPr>
              <w:spacing w:before="120" w:after="120" w:line="260" w:lineRule="atLeast"/>
              <w:jc w:val="both"/>
              <w:rPr>
                <w:rFonts w:ascii="Verdana" w:eastAsia="Times New Roman" w:hAnsi="Verdana"/>
                <w:sz w:val="18"/>
                <w:szCs w:val="18"/>
                <w:lang w:val="mk-MK"/>
              </w:rPr>
            </w:pP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Чекор 8 и 9: одговорот е примен и се анализира.</w:t>
            </w:r>
            <w:r w:rsidR="004671B7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 Д</w:t>
            </w: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ополнителни</w:t>
            </w:r>
            <w:r w:rsidR="004671B7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те дописи,</w:t>
            </w: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 или како појаснување, </w:t>
            </w:r>
            <w:r w:rsidR="004671B7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прилог</w:t>
            </w: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 или целосно нов</w:t>
            </w:r>
            <w:r w:rsidR="004671B7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и</w:t>
            </w: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, врз основа на утврдените факти од првиот</w:t>
            </w:r>
            <w:r w:rsidR="004671B7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 xml:space="preserve"> допис се исто така при рака</w:t>
            </w:r>
            <w:r w:rsidR="00A932E7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.</w:t>
            </w:r>
          </w:p>
          <w:p w14:paraId="4D384E6F" w14:textId="031EB97E" w:rsidR="00000C58" w:rsidRPr="00C23C86" w:rsidRDefault="004E6EE2" w:rsidP="00C23C86">
            <w:pPr>
              <w:spacing w:before="120" w:after="120" w:line="260" w:lineRule="atLeast"/>
              <w:jc w:val="both"/>
              <w:rPr>
                <w:rFonts w:ascii="Verdana" w:eastAsia="Times New Roman" w:hAnsi="Verdana"/>
                <w:sz w:val="18"/>
                <w:szCs w:val="18"/>
                <w:lang w:val="mk-MK"/>
              </w:rPr>
            </w:pPr>
            <w:r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Претставници</w:t>
            </w:r>
            <w:r w:rsidR="000A4423" w:rsidRPr="00C23C86">
              <w:rPr>
                <w:rFonts w:ascii="Verdana" w:eastAsia="Times New Roman" w:hAnsi="Verdana"/>
                <w:sz w:val="18"/>
                <w:szCs w:val="18"/>
                <w:lang w:val="mk-MK"/>
              </w:rPr>
              <w:t>те треба да бидат поканети да ги споделат своите искуства.</w:t>
            </w:r>
          </w:p>
        </w:tc>
      </w:tr>
      <w:tr w:rsidR="00F1574D" w:rsidRPr="00C23C86" w14:paraId="35503B3F" w14:textId="77777777" w:rsidTr="00F1574D">
        <w:trPr>
          <w:trHeight w:val="1259"/>
        </w:trPr>
        <w:tc>
          <w:tcPr>
            <w:tcW w:w="1525" w:type="dxa"/>
            <w:vAlign w:val="center"/>
          </w:tcPr>
          <w:p w14:paraId="5DE9D224" w14:textId="2C6442C0" w:rsidR="00F1574D" w:rsidRPr="00C23C86" w:rsidRDefault="000A4423" w:rsidP="00C23C8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40 до 45</w:t>
            </w:r>
          </w:p>
        </w:tc>
        <w:tc>
          <w:tcPr>
            <w:tcW w:w="7485" w:type="dxa"/>
            <w:gridSpan w:val="2"/>
            <w:vAlign w:val="center"/>
          </w:tcPr>
          <w:p w14:paraId="6E2FA816" w14:textId="1D619CAA" w:rsidR="00000C58" w:rsidRPr="00C23C86" w:rsidRDefault="000A4423" w:rsidP="00C23C86">
            <w:pPr>
              <w:pStyle w:val="Subtitle"/>
              <w:spacing w:before="120" w:line="260" w:lineRule="atLeast"/>
              <w:rPr>
                <w:rFonts w:ascii="Verdana" w:hAnsi="Verdana"/>
                <w:szCs w:val="18"/>
                <w:lang w:val="mk-MK"/>
              </w:rPr>
            </w:pPr>
            <w:r w:rsidRPr="00C23C86">
              <w:rPr>
                <w:rFonts w:ascii="Verdana" w:hAnsi="Verdana"/>
                <w:szCs w:val="18"/>
                <w:lang w:val="mk-MK"/>
              </w:rPr>
              <w:t>Студија на случај на вистински случај од 2020 година. Дополнителен материјал за тоа е даден во пакетот за обука.</w:t>
            </w:r>
          </w:p>
        </w:tc>
      </w:tr>
      <w:tr w:rsidR="005F709E" w:rsidRPr="00C23C86" w14:paraId="1918B48F" w14:textId="77777777" w:rsidTr="00F1574D">
        <w:trPr>
          <w:trHeight w:val="1313"/>
        </w:trPr>
        <w:tc>
          <w:tcPr>
            <w:tcW w:w="1525" w:type="dxa"/>
            <w:vAlign w:val="center"/>
          </w:tcPr>
          <w:p w14:paraId="224BC13F" w14:textId="44C3E23A" w:rsidR="005F709E" w:rsidRPr="00C23C86" w:rsidRDefault="000A4423" w:rsidP="00C23C86">
            <w:pPr>
              <w:spacing w:before="120" w:after="120" w:line="26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46 до 47</w:t>
            </w:r>
          </w:p>
        </w:tc>
        <w:tc>
          <w:tcPr>
            <w:tcW w:w="7485" w:type="dxa"/>
            <w:gridSpan w:val="2"/>
            <w:vAlign w:val="center"/>
          </w:tcPr>
          <w:p w14:paraId="2E2377DE" w14:textId="3FCC6B20" w:rsidR="005F709E" w:rsidRPr="00C23C86" w:rsidRDefault="000A4423" w:rsidP="00C23C86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Завршните слајдови му овозможуваат на обучувачот да ги разгледа целите </w:t>
            </w:r>
            <w:r w:rsidR="00A932E7" w:rsidRPr="00C23C86">
              <w:rPr>
                <w:rFonts w:ascii="Verdana" w:hAnsi="Verdana"/>
                <w:sz w:val="18"/>
                <w:szCs w:val="18"/>
                <w:lang w:val="mk-MK"/>
              </w:rPr>
              <w:t>з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а учење со публиката за да се осигура дека се постигнати.</w:t>
            </w:r>
            <w:r w:rsidR="005F709E" w:rsidRPr="00C23C8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Исто така, тоа е можност за </w:t>
            </w:r>
            <w:r w:rsidR="004E6EE2" w:rsidRPr="00C23C86">
              <w:rPr>
                <w:rFonts w:ascii="Verdana" w:hAnsi="Verdana"/>
                <w:sz w:val="18"/>
                <w:szCs w:val="18"/>
                <w:lang w:val="mk-MK"/>
              </w:rPr>
              <w:t>претставници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те да по</w:t>
            </w:r>
            <w:r w:rsidR="00707C78" w:rsidRPr="00C23C86">
              <w:rPr>
                <w:rFonts w:ascii="Verdana" w:hAnsi="Verdana"/>
                <w:sz w:val="18"/>
                <w:szCs w:val="18"/>
                <w:lang w:val="mk-MK"/>
              </w:rPr>
              <w:t>став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ат какви било прашања што </w:t>
            </w:r>
            <w:r w:rsidR="004671B7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се 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мож</w:t>
            </w:r>
            <w:r w:rsidR="004671B7" w:rsidRPr="00C23C86">
              <w:rPr>
                <w:rFonts w:ascii="Verdana" w:hAnsi="Verdana"/>
                <w:sz w:val="18"/>
                <w:szCs w:val="18"/>
                <w:lang w:val="mk-MK"/>
              </w:rPr>
              <w:t>еби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нерешени или </w:t>
            </w:r>
            <w:r w:rsidR="004671B7"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за </w:t>
            </w:r>
            <w:r w:rsidR="00A932E7" w:rsidRPr="00C23C86">
              <w:rPr>
                <w:rFonts w:ascii="Verdana" w:hAnsi="Verdana"/>
                <w:sz w:val="18"/>
                <w:szCs w:val="18"/>
                <w:lang w:val="mk-MK"/>
              </w:rPr>
              <w:t>оние презентирани теми што не ги разбрале целосно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.</w:t>
            </w:r>
            <w:r w:rsidR="005F709E" w:rsidRPr="00C23C86"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14:paraId="4F4159A3" w14:textId="1184C0F7" w:rsidR="005F709E" w:rsidRPr="00C23C86" w:rsidRDefault="000A4423" w:rsidP="00C23C86">
            <w:pPr>
              <w:spacing w:before="120" w:after="120" w:line="260" w:lineRule="atLeast"/>
              <w:jc w:val="both"/>
              <w:rPr>
                <w:rFonts w:ascii="Verdana" w:hAnsi="Verdana"/>
                <w:sz w:val="18"/>
                <w:szCs w:val="18"/>
              </w:rPr>
            </w:pP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Покрај тоа, обучувачот може да ја искористи сесијата за да го провери </w:t>
            </w:r>
            <w:r w:rsidR="00A932E7" w:rsidRPr="00C23C86">
              <w:rPr>
                <w:rFonts w:ascii="Verdana" w:hAnsi="Verdana"/>
                <w:sz w:val="18"/>
                <w:szCs w:val="18"/>
                <w:lang w:val="mk-MK"/>
              </w:rPr>
              <w:t>стекнатото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 xml:space="preserve"> знаење со поставување прашања на учесниците.</w:t>
            </w:r>
            <w:r w:rsidR="005F709E" w:rsidRPr="00C23C86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23C86">
              <w:rPr>
                <w:rFonts w:ascii="Verdana" w:hAnsi="Verdana"/>
                <w:sz w:val="18"/>
                <w:szCs w:val="18"/>
                <w:lang w:val="mk-MK"/>
              </w:rPr>
              <w:t>Ова е важно, бидејќи нема формално оценување на курсот.</w:t>
            </w:r>
          </w:p>
        </w:tc>
      </w:tr>
      <w:tr w:rsidR="00CB3026" w:rsidRPr="00C23C86" w14:paraId="2ECF09B7" w14:textId="77777777" w:rsidTr="00F1574D">
        <w:trPr>
          <w:trHeight w:val="890"/>
        </w:trPr>
        <w:tc>
          <w:tcPr>
            <w:tcW w:w="9010" w:type="dxa"/>
            <w:gridSpan w:val="3"/>
            <w:vAlign w:val="center"/>
          </w:tcPr>
          <w:p w14:paraId="55ED1F4B" w14:textId="2CEB7E53" w:rsidR="00CB3026" w:rsidRPr="00C23C86" w:rsidRDefault="000A4423" w:rsidP="00C23C86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C23C86">
              <w:rPr>
                <w:rFonts w:ascii="Verdana" w:hAnsi="Verdana"/>
                <w:b/>
                <w:sz w:val="22"/>
                <w:szCs w:val="22"/>
                <w:lang w:val="mk-MK"/>
              </w:rPr>
              <w:t>Практични вежби</w:t>
            </w:r>
          </w:p>
          <w:p w14:paraId="04D65D89" w14:textId="615A11A3" w:rsidR="00CB3026" w:rsidRPr="00C23C86" w:rsidRDefault="000A4423" w:rsidP="00C23C86">
            <w:pPr>
              <w:spacing w:before="120" w:after="120" w:line="260" w:lineRule="atLeas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23C86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За оваа лекција е предвидена студија на случај.</w:t>
            </w:r>
          </w:p>
        </w:tc>
      </w:tr>
      <w:tr w:rsidR="00CB3026" w:rsidRPr="00C23C86" w14:paraId="603967A2" w14:textId="77777777" w:rsidTr="00F1574D">
        <w:tc>
          <w:tcPr>
            <w:tcW w:w="9010" w:type="dxa"/>
            <w:gridSpan w:val="3"/>
            <w:vAlign w:val="center"/>
          </w:tcPr>
          <w:p w14:paraId="57B48D1E" w14:textId="57639219" w:rsidR="00CB3026" w:rsidRPr="00C23C86" w:rsidRDefault="000A4423" w:rsidP="00C23C86">
            <w:pPr>
              <w:spacing w:before="120" w:after="120" w:line="260" w:lineRule="atLeast"/>
              <w:rPr>
                <w:rFonts w:ascii="Verdana" w:hAnsi="Verdana"/>
                <w:b/>
                <w:sz w:val="22"/>
                <w:szCs w:val="22"/>
              </w:rPr>
            </w:pPr>
            <w:r w:rsidRPr="00C23C86">
              <w:rPr>
                <w:rFonts w:ascii="Verdana" w:hAnsi="Verdana"/>
                <w:b/>
                <w:sz w:val="22"/>
                <w:szCs w:val="22"/>
                <w:lang w:val="mk-MK"/>
              </w:rPr>
              <w:t>Проценка/Проверување на знаење</w:t>
            </w:r>
          </w:p>
          <w:p w14:paraId="4496975B" w14:textId="21E8BAE6" w:rsidR="00CB3026" w:rsidRPr="00C23C86" w:rsidRDefault="000A4423" w:rsidP="00C23C86">
            <w:pPr>
              <w:spacing w:before="120" w:after="120" w:line="260" w:lineRule="atLeas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C23C86">
              <w:rPr>
                <w:rFonts w:ascii="Verdana" w:hAnsi="Verdana"/>
                <w:color w:val="000000" w:themeColor="text1"/>
                <w:sz w:val="18"/>
                <w:szCs w:val="18"/>
                <w:lang w:val="mk-MK"/>
              </w:rPr>
              <w:t>За оваа сесија не е потребна проверка или проценка на знаењето.</w:t>
            </w:r>
          </w:p>
        </w:tc>
      </w:tr>
    </w:tbl>
    <w:p w14:paraId="15498912" w14:textId="77777777" w:rsidR="00D82C18" w:rsidRPr="00C23C86" w:rsidRDefault="00D82C18" w:rsidP="00C23C86">
      <w:pPr>
        <w:spacing w:before="120" w:after="120" w:line="260" w:lineRule="atLeast"/>
        <w:rPr>
          <w:rFonts w:ascii="Verdana" w:hAnsi="Verdana"/>
        </w:rPr>
      </w:pPr>
    </w:p>
    <w:sectPr w:rsidR="00D82C18" w:rsidRPr="00C23C86" w:rsidSect="00F157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83" w:right="1440" w:bottom="119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C7031" w14:textId="77777777" w:rsidR="0025552E" w:rsidRDefault="0025552E" w:rsidP="00C722B9">
      <w:r>
        <w:separator/>
      </w:r>
    </w:p>
  </w:endnote>
  <w:endnote w:type="continuationSeparator" w:id="0">
    <w:p w14:paraId="6671DCB4" w14:textId="77777777" w:rsidR="0025552E" w:rsidRDefault="0025552E" w:rsidP="00C7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Bold">
    <w:altName w:val="Times New Roman"/>
    <w:panose1 w:val="020B0804030504040204"/>
    <w:charset w:val="00"/>
    <w:family w:val="auto"/>
    <w:pitch w:val="variable"/>
    <w:sig w:usb0="00000001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32CFF" w14:textId="77777777" w:rsidR="00C722B9" w:rsidRDefault="00C72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26C82" w14:textId="77777777" w:rsidR="00C722B9" w:rsidRDefault="00C722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691BE" w14:textId="77777777" w:rsidR="00C722B9" w:rsidRDefault="00C72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A0C47" w14:textId="77777777" w:rsidR="0025552E" w:rsidRDefault="0025552E" w:rsidP="00C722B9">
      <w:r>
        <w:separator/>
      </w:r>
    </w:p>
  </w:footnote>
  <w:footnote w:type="continuationSeparator" w:id="0">
    <w:p w14:paraId="2D03FF1D" w14:textId="77777777" w:rsidR="0025552E" w:rsidRDefault="0025552E" w:rsidP="00C72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D75CB" w14:textId="77777777" w:rsidR="00C722B9" w:rsidRDefault="00C72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3B42" w14:textId="77777777" w:rsidR="00C722B9" w:rsidRDefault="00C722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A1235" w14:textId="77777777" w:rsidR="00C722B9" w:rsidRDefault="00C72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86C5820"/>
    <w:lvl w:ilvl="0">
      <w:numFmt w:val="decimal"/>
      <w:pStyle w:val="listbullet"/>
      <w:lvlText w:val="*"/>
      <w:lvlJc w:val="left"/>
      <w:rPr>
        <w:rFonts w:cs="Times New Roman"/>
      </w:rPr>
    </w:lvl>
  </w:abstractNum>
  <w:abstractNum w:abstractNumId="1" w15:restartNumberingAfterBreak="0">
    <w:nsid w:val="013A42A5"/>
    <w:multiLevelType w:val="hybridMultilevel"/>
    <w:tmpl w:val="11D0B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01041"/>
    <w:multiLevelType w:val="hybridMultilevel"/>
    <w:tmpl w:val="74B491D4"/>
    <w:lvl w:ilvl="0" w:tplc="13CE29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3ABC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32214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F2B6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06AE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3E00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E06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A45D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CC35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C2030"/>
    <w:multiLevelType w:val="hybridMultilevel"/>
    <w:tmpl w:val="2ABAA646"/>
    <w:lvl w:ilvl="0" w:tplc="76E0E7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CE9B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E8243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0E2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4E2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62F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839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C8A6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1255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F75E0"/>
    <w:multiLevelType w:val="hybridMultilevel"/>
    <w:tmpl w:val="BA6E84EA"/>
    <w:lvl w:ilvl="0" w:tplc="676AC7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6A17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2AF5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402E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D4C7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8211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3494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CCD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5ABE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E10C7"/>
    <w:multiLevelType w:val="hybridMultilevel"/>
    <w:tmpl w:val="AADA1F4A"/>
    <w:lvl w:ilvl="0" w:tplc="BB2063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6E09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3CF7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A0C5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AF9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A070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9AED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8A85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290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C56D6"/>
    <w:multiLevelType w:val="hybridMultilevel"/>
    <w:tmpl w:val="1070EADA"/>
    <w:lvl w:ilvl="0" w:tplc="6E0E98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E31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6651D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F877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162D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7027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2A62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46F1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A02A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A3C0F"/>
    <w:multiLevelType w:val="hybridMultilevel"/>
    <w:tmpl w:val="91E0D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910DB"/>
    <w:multiLevelType w:val="hybridMultilevel"/>
    <w:tmpl w:val="0F2A1AC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5D1461F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1" w15:restartNumberingAfterBreak="0">
    <w:nsid w:val="38753227"/>
    <w:multiLevelType w:val="hybridMultilevel"/>
    <w:tmpl w:val="979830FA"/>
    <w:lvl w:ilvl="0" w:tplc="5E2668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76C5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5E320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689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EE2B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28B5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845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823D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7C5F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255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AE54E4"/>
    <w:multiLevelType w:val="hybridMultilevel"/>
    <w:tmpl w:val="D2C2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B2C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6EA365F"/>
    <w:multiLevelType w:val="hybridMultilevel"/>
    <w:tmpl w:val="197021C0"/>
    <w:lvl w:ilvl="0" w:tplc="1396E6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2878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8A4D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E65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A228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462F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12FD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099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C49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C02A6"/>
    <w:multiLevelType w:val="hybridMultilevel"/>
    <w:tmpl w:val="8B0AA106"/>
    <w:lvl w:ilvl="0" w:tplc="E69EE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D46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FCE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F4E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CEF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4E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942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C9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4C2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3B62B50"/>
    <w:multiLevelType w:val="hybridMultilevel"/>
    <w:tmpl w:val="ABF09E5A"/>
    <w:lvl w:ilvl="0" w:tplc="5C4AE8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9607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56FC2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4D0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98C3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2AEF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DA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0E3E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7E05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840D9"/>
    <w:multiLevelType w:val="hybridMultilevel"/>
    <w:tmpl w:val="FE127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D4895"/>
    <w:multiLevelType w:val="hybridMultilevel"/>
    <w:tmpl w:val="8F70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22377"/>
    <w:multiLevelType w:val="hybridMultilevel"/>
    <w:tmpl w:val="85B03316"/>
    <w:lvl w:ilvl="0" w:tplc="44DE59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58BD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3C69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CEAF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E09A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E289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4A52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7CC2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94C9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53E50"/>
    <w:multiLevelType w:val="multilevel"/>
    <w:tmpl w:val="99E2FBE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Verdana" w:hAnsi="Verdana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E864AE1"/>
    <w:multiLevelType w:val="hybridMultilevel"/>
    <w:tmpl w:val="E2F8E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A1946"/>
    <w:multiLevelType w:val="hybridMultilevel"/>
    <w:tmpl w:val="7A50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4"/>
  </w:num>
  <w:num w:numId="4">
    <w:abstractNumId w:val="12"/>
  </w:num>
  <w:num w:numId="5">
    <w:abstractNumId w:val="13"/>
  </w:num>
  <w:num w:numId="6">
    <w:abstractNumId w:val="23"/>
  </w:num>
  <w:num w:numId="7">
    <w:abstractNumId w:val="7"/>
  </w:num>
  <w:num w:numId="8">
    <w:abstractNumId w:val="0"/>
    <w:lvlOverride w:ilvl="0">
      <w:lvl w:ilvl="0">
        <w:start w:val="1"/>
        <w:numFmt w:val="bullet"/>
        <w:pStyle w:val="listbullet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</w:rPr>
      </w:lvl>
    </w:lvlOverride>
  </w:num>
  <w:num w:numId="9">
    <w:abstractNumId w:val="21"/>
  </w:num>
  <w:num w:numId="10">
    <w:abstractNumId w:val="4"/>
  </w:num>
  <w:num w:numId="11">
    <w:abstractNumId w:val="15"/>
  </w:num>
  <w:num w:numId="12">
    <w:abstractNumId w:val="20"/>
  </w:num>
  <w:num w:numId="13">
    <w:abstractNumId w:val="5"/>
  </w:num>
  <w:num w:numId="14">
    <w:abstractNumId w:val="9"/>
  </w:num>
  <w:num w:numId="15">
    <w:abstractNumId w:val="19"/>
  </w:num>
  <w:num w:numId="16">
    <w:abstractNumId w:val="2"/>
  </w:num>
  <w:num w:numId="17">
    <w:abstractNumId w:val="3"/>
  </w:num>
  <w:num w:numId="18">
    <w:abstractNumId w:val="22"/>
  </w:num>
  <w:num w:numId="19">
    <w:abstractNumId w:val="16"/>
  </w:num>
  <w:num w:numId="20">
    <w:abstractNumId w:val="6"/>
  </w:num>
  <w:num w:numId="21">
    <w:abstractNumId w:val="8"/>
  </w:num>
  <w:num w:numId="22">
    <w:abstractNumId w:val="17"/>
  </w:num>
  <w:num w:numId="23">
    <w:abstractNumId w:val="1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C18"/>
    <w:rsid w:val="00000C58"/>
    <w:rsid w:val="00004A76"/>
    <w:rsid w:val="00006EAD"/>
    <w:rsid w:val="000A4423"/>
    <w:rsid w:val="000C40EE"/>
    <w:rsid w:val="000F7896"/>
    <w:rsid w:val="00151E6A"/>
    <w:rsid w:val="001D603D"/>
    <w:rsid w:val="001D7E1A"/>
    <w:rsid w:val="00207F9E"/>
    <w:rsid w:val="0023008E"/>
    <w:rsid w:val="0025552E"/>
    <w:rsid w:val="00260809"/>
    <w:rsid w:val="00271010"/>
    <w:rsid w:val="002A723F"/>
    <w:rsid w:val="002E3ECE"/>
    <w:rsid w:val="002F0721"/>
    <w:rsid w:val="002F3B54"/>
    <w:rsid w:val="0034224C"/>
    <w:rsid w:val="00342639"/>
    <w:rsid w:val="003453F7"/>
    <w:rsid w:val="00362D29"/>
    <w:rsid w:val="003630ED"/>
    <w:rsid w:val="003A435F"/>
    <w:rsid w:val="003B34C4"/>
    <w:rsid w:val="003B45A9"/>
    <w:rsid w:val="003C3B79"/>
    <w:rsid w:val="003F6587"/>
    <w:rsid w:val="00450007"/>
    <w:rsid w:val="0045500D"/>
    <w:rsid w:val="00457DD3"/>
    <w:rsid w:val="004671B7"/>
    <w:rsid w:val="00491738"/>
    <w:rsid w:val="004B7351"/>
    <w:rsid w:val="004D35F1"/>
    <w:rsid w:val="004E6EE2"/>
    <w:rsid w:val="00556D69"/>
    <w:rsid w:val="005570E1"/>
    <w:rsid w:val="005703B7"/>
    <w:rsid w:val="005A4E47"/>
    <w:rsid w:val="005D4432"/>
    <w:rsid w:val="005D7794"/>
    <w:rsid w:val="005F709E"/>
    <w:rsid w:val="006527C6"/>
    <w:rsid w:val="006848B3"/>
    <w:rsid w:val="00694153"/>
    <w:rsid w:val="006B6FDF"/>
    <w:rsid w:val="006D7025"/>
    <w:rsid w:val="00707C78"/>
    <w:rsid w:val="0075334E"/>
    <w:rsid w:val="007678A6"/>
    <w:rsid w:val="007711FC"/>
    <w:rsid w:val="00773F6C"/>
    <w:rsid w:val="0080315D"/>
    <w:rsid w:val="008147B2"/>
    <w:rsid w:val="00844FBF"/>
    <w:rsid w:val="008817F1"/>
    <w:rsid w:val="0088724E"/>
    <w:rsid w:val="008A4C93"/>
    <w:rsid w:val="008E02C6"/>
    <w:rsid w:val="008E3FE7"/>
    <w:rsid w:val="008E4D2C"/>
    <w:rsid w:val="00951791"/>
    <w:rsid w:val="009D1DB1"/>
    <w:rsid w:val="009F336B"/>
    <w:rsid w:val="00A03CF0"/>
    <w:rsid w:val="00A31FA0"/>
    <w:rsid w:val="00A342ED"/>
    <w:rsid w:val="00A4110D"/>
    <w:rsid w:val="00A60446"/>
    <w:rsid w:val="00A734A5"/>
    <w:rsid w:val="00A76996"/>
    <w:rsid w:val="00A85F01"/>
    <w:rsid w:val="00A932E7"/>
    <w:rsid w:val="00AA5742"/>
    <w:rsid w:val="00AB07AA"/>
    <w:rsid w:val="00B1280C"/>
    <w:rsid w:val="00B3608C"/>
    <w:rsid w:val="00B40FCA"/>
    <w:rsid w:val="00B56791"/>
    <w:rsid w:val="00B77286"/>
    <w:rsid w:val="00BA319A"/>
    <w:rsid w:val="00BA6A8F"/>
    <w:rsid w:val="00BD7897"/>
    <w:rsid w:val="00C115FC"/>
    <w:rsid w:val="00C23C86"/>
    <w:rsid w:val="00C541A2"/>
    <w:rsid w:val="00C722B9"/>
    <w:rsid w:val="00CB02C4"/>
    <w:rsid w:val="00CB3026"/>
    <w:rsid w:val="00CC1F79"/>
    <w:rsid w:val="00CC2222"/>
    <w:rsid w:val="00D62E5F"/>
    <w:rsid w:val="00D82C18"/>
    <w:rsid w:val="00DC26CB"/>
    <w:rsid w:val="00DD51D0"/>
    <w:rsid w:val="00E13BE7"/>
    <w:rsid w:val="00E7344B"/>
    <w:rsid w:val="00E95703"/>
    <w:rsid w:val="00EE1E16"/>
    <w:rsid w:val="00F054BE"/>
    <w:rsid w:val="00F1338F"/>
    <w:rsid w:val="00F1574D"/>
    <w:rsid w:val="00F22F9E"/>
    <w:rsid w:val="00F504D6"/>
    <w:rsid w:val="00F62A15"/>
    <w:rsid w:val="00F824B2"/>
    <w:rsid w:val="00F87701"/>
    <w:rsid w:val="00F955B5"/>
    <w:rsid w:val="00FB6DE5"/>
    <w:rsid w:val="00F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CF78"/>
  <w14:defaultImageDpi w14:val="330"/>
  <w15:docId w15:val="{3B29B350-01AC-49EB-9C94-549F8938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qFormat/>
    <w:rsid w:val="003453F7"/>
    <w:pPr>
      <w:keepNext/>
      <w:keepLines/>
      <w:numPr>
        <w:numId w:val="9"/>
      </w:numPr>
      <w:spacing w:before="120" w:after="240" w:line="260" w:lineRule="atLeast"/>
      <w:ind w:right="-79"/>
      <w:jc w:val="both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F7"/>
    <w:pPr>
      <w:keepNext/>
      <w:keepLines/>
      <w:numPr>
        <w:ilvl w:val="1"/>
        <w:numId w:val="9"/>
      </w:numPr>
      <w:spacing w:before="120" w:after="240" w:line="280" w:lineRule="atLeast"/>
      <w:ind w:right="-79"/>
      <w:jc w:val="both"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F7"/>
    <w:pPr>
      <w:keepNext/>
      <w:keepLines/>
      <w:numPr>
        <w:ilvl w:val="2"/>
        <w:numId w:val="9"/>
      </w:numPr>
      <w:spacing w:before="120" w:after="240" w:line="280" w:lineRule="atLeast"/>
      <w:ind w:left="851" w:right="-79" w:hanging="851"/>
      <w:jc w:val="both"/>
      <w:outlineLvl w:val="2"/>
    </w:pPr>
    <w:rPr>
      <w:rFonts w:ascii="Verdana" w:eastAsiaTheme="majorEastAsia" w:hAnsi="Verdana" w:cstheme="majorBidi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53F7"/>
    <w:pPr>
      <w:keepNext/>
      <w:keepLines/>
      <w:numPr>
        <w:ilvl w:val="3"/>
        <w:numId w:val="9"/>
      </w:numPr>
      <w:spacing w:before="120" w:after="120" w:line="280" w:lineRule="atLeast"/>
      <w:ind w:right="-79"/>
      <w:jc w:val="both"/>
      <w:outlineLvl w:val="3"/>
    </w:pPr>
    <w:rPr>
      <w:rFonts w:ascii="Verdana" w:eastAsiaTheme="majorEastAsia" w:hAnsi="Verdana" w:cstheme="majorBidi"/>
      <w:b/>
      <w:bCs/>
      <w:iCs/>
      <w:sz w:val="1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3F7"/>
    <w:pPr>
      <w:keepNext/>
      <w:keepLines/>
      <w:numPr>
        <w:ilvl w:val="4"/>
        <w:numId w:val="9"/>
      </w:numPr>
      <w:spacing w:before="200" w:line="280" w:lineRule="atLeast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53F7"/>
    <w:pPr>
      <w:keepNext/>
      <w:keepLines/>
      <w:numPr>
        <w:ilvl w:val="5"/>
        <w:numId w:val="9"/>
      </w:numPr>
      <w:spacing w:before="200" w:line="280" w:lineRule="atLeast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53F7"/>
    <w:pPr>
      <w:keepNext/>
      <w:keepLines/>
      <w:numPr>
        <w:ilvl w:val="6"/>
        <w:numId w:val="9"/>
      </w:numPr>
      <w:spacing w:before="200" w:line="280" w:lineRule="atLeast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53F7"/>
    <w:pPr>
      <w:keepNext/>
      <w:keepLines/>
      <w:numPr>
        <w:ilvl w:val="7"/>
        <w:numId w:val="9"/>
      </w:numPr>
      <w:spacing w:before="200" w:line="280" w:lineRule="atLeast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53F7"/>
    <w:pPr>
      <w:keepNext/>
      <w:keepLines/>
      <w:numPr>
        <w:ilvl w:val="8"/>
        <w:numId w:val="9"/>
      </w:numPr>
      <w:spacing w:before="200" w:line="28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18"/>
    <w:pPr>
      <w:ind w:left="720"/>
      <w:contextualSpacing/>
    </w:pPr>
  </w:style>
  <w:style w:type="paragraph" w:customStyle="1" w:styleId="bul1">
    <w:name w:val="bul1"/>
    <w:basedOn w:val="Normal"/>
    <w:link w:val="bul1Char"/>
    <w:qFormat/>
    <w:rsid w:val="00E7344B"/>
    <w:pPr>
      <w:numPr>
        <w:numId w:val="7"/>
      </w:numPr>
      <w:spacing w:line="280" w:lineRule="atLeast"/>
      <w:ind w:left="851" w:hanging="851"/>
      <w:jc w:val="both"/>
    </w:pPr>
    <w:rPr>
      <w:rFonts w:ascii="Verdana" w:eastAsia="Calibri" w:hAnsi="Verdana" w:cs="Times New Roman"/>
      <w:sz w:val="18"/>
      <w:lang w:val="de-DE" w:eastAsia="de-DE"/>
    </w:rPr>
  </w:style>
  <w:style w:type="character" w:customStyle="1" w:styleId="bul1Char">
    <w:name w:val="bul1 Char"/>
    <w:link w:val="bul1"/>
    <w:locked/>
    <w:rsid w:val="00E7344B"/>
    <w:rPr>
      <w:rFonts w:ascii="Verdana" w:eastAsia="Calibri" w:hAnsi="Verdana" w:cs="Times New Roman"/>
      <w:sz w:val="18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5703B7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026"/>
    <w:pPr>
      <w:numPr>
        <w:ilvl w:val="1"/>
      </w:numPr>
      <w:spacing w:before="20" w:after="120" w:line="280" w:lineRule="atLeast"/>
      <w:jc w:val="both"/>
    </w:pPr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B3026"/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53F7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53F7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F7"/>
    <w:rPr>
      <w:rFonts w:ascii="Verdana" w:eastAsiaTheme="majorEastAsia" w:hAnsi="Verdana" w:cstheme="majorBidi"/>
      <w:b/>
      <w:bCs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53F7"/>
    <w:rPr>
      <w:rFonts w:ascii="Verdana" w:eastAsiaTheme="majorEastAsia" w:hAnsi="Verdana" w:cstheme="majorBidi"/>
      <w:b/>
      <w:bCs/>
      <w:iCs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53F7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53F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53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istbullet">
    <w:name w:val="listbullet"/>
    <w:basedOn w:val="Normal"/>
    <w:rsid w:val="003453F7"/>
    <w:pPr>
      <w:numPr>
        <w:numId w:val="8"/>
      </w:numPr>
      <w:tabs>
        <w:tab w:val="left" w:pos="567"/>
      </w:tabs>
      <w:spacing w:line="280" w:lineRule="atLeast"/>
      <w:jc w:val="both"/>
    </w:pPr>
    <w:rPr>
      <w:rFonts w:ascii="Book Antiqua" w:eastAsia="Calibri" w:hAnsi="Book Antiqua" w:cs="Times New Roman"/>
      <w:sz w:val="19"/>
      <w:szCs w:val="20"/>
    </w:rPr>
  </w:style>
  <w:style w:type="paragraph" w:styleId="NormalWeb">
    <w:name w:val="Normal (Web)"/>
    <w:basedOn w:val="Normal"/>
    <w:uiPriority w:val="99"/>
    <w:semiHidden/>
    <w:unhideWhenUsed/>
    <w:rsid w:val="00556D6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722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2B9"/>
  </w:style>
  <w:style w:type="paragraph" w:styleId="Footer">
    <w:name w:val="footer"/>
    <w:basedOn w:val="Normal"/>
    <w:link w:val="FooterChar"/>
    <w:uiPriority w:val="99"/>
    <w:unhideWhenUsed/>
    <w:rsid w:val="00C72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12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57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6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4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1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0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5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4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7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22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0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Nigel (nigel.jones@canterbury.ac.uk)</dc:creator>
  <cp:keywords/>
  <dc:description/>
  <cp:lastModifiedBy>CEAUSU Diana</cp:lastModifiedBy>
  <cp:revision>30</cp:revision>
  <dcterms:created xsi:type="dcterms:W3CDTF">2020-09-18T14:27:00Z</dcterms:created>
  <dcterms:modified xsi:type="dcterms:W3CDTF">2021-05-10T08:21:00Z</dcterms:modified>
</cp:coreProperties>
</file>