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D02D" w14:textId="710E71F3" w:rsidR="00D82C18" w:rsidRPr="002D4F1E" w:rsidRDefault="00675257" w:rsidP="002D4F1E">
      <w:pPr>
        <w:spacing w:before="120" w:after="120" w:line="260" w:lineRule="atLeast"/>
        <w:rPr>
          <w:rFonts w:ascii="Verdana" w:hAnsi="Verdana"/>
          <w:sz w:val="28"/>
        </w:rPr>
      </w:pPr>
      <w:r w:rsidRPr="002D4F1E">
        <w:rPr>
          <w:rFonts w:ascii="Verdana" w:hAnsi="Verdana"/>
          <w:b/>
          <w:bCs/>
          <w:sz w:val="28"/>
          <w:szCs w:val="28"/>
          <w:lang w:val="mk-MK"/>
        </w:rPr>
        <w:t>Лекција 2.4 Соочени предизвици</w:t>
      </w:r>
    </w:p>
    <w:p w14:paraId="1D0E3DC5" w14:textId="77777777" w:rsidR="00C115FC" w:rsidRPr="002D4F1E" w:rsidRDefault="00C115FC" w:rsidP="002D4F1E">
      <w:pPr>
        <w:spacing w:before="120" w:after="120" w:line="260" w:lineRule="atLeast"/>
        <w:ind w:left="360"/>
        <w:rPr>
          <w:rFonts w:ascii="Verdana" w:hAnsi="Verdana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672"/>
        <w:gridCol w:w="5320"/>
        <w:gridCol w:w="2165"/>
      </w:tblGrid>
      <w:tr w:rsidR="00C115FC" w:rsidRPr="002D4F1E" w14:paraId="58A3485E" w14:textId="77777777" w:rsidTr="00367776">
        <w:trPr>
          <w:trHeight w:val="872"/>
        </w:trPr>
        <w:tc>
          <w:tcPr>
            <w:tcW w:w="6992" w:type="dxa"/>
            <w:gridSpan w:val="2"/>
            <w:shd w:val="clear" w:color="auto" w:fill="DEEAF6" w:themeFill="accent5" w:themeFillTint="33"/>
            <w:vAlign w:val="center"/>
          </w:tcPr>
          <w:p w14:paraId="0067FF35" w14:textId="52366798" w:rsidR="00D82C18" w:rsidRPr="002D4F1E" w:rsidRDefault="00675257" w:rsidP="002D4F1E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  <w:r w:rsidRPr="002D4F1E">
              <w:rPr>
                <w:rFonts w:ascii="Verdana" w:hAnsi="Verdana"/>
                <w:sz w:val="22"/>
                <w:szCs w:val="22"/>
                <w:lang w:val="mk-MK"/>
              </w:rPr>
              <w:t>Лекција 2.4 Соочени предизвици</w:t>
            </w: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474E5A82" w:rsidR="00D82C18" w:rsidRPr="002D4F1E" w:rsidRDefault="00430D53" w:rsidP="002D4F1E">
            <w:pPr>
              <w:pBdr>
                <w:top w:val="single" w:sz="2" w:space="4" w:color="C0C0C0"/>
              </w:pBdr>
              <w:spacing w:before="120" w:after="120" w:line="260" w:lineRule="atLeast"/>
              <w:rPr>
                <w:rFonts w:ascii="Verdana" w:hAnsi="Verdana"/>
                <w:color w:val="FFFFFF"/>
                <w:sz w:val="22"/>
                <w:szCs w:val="22"/>
                <w:lang w:val="mk-MK"/>
              </w:rPr>
            </w:pPr>
            <w:r w:rsidRPr="002D4F1E">
              <w:rPr>
                <w:rFonts w:ascii="Verdana" w:hAnsi="Verdana"/>
                <w:sz w:val="22"/>
                <w:szCs w:val="22"/>
                <w:lang w:val="mk-MK"/>
              </w:rPr>
              <w:t>Времетраење: 60 минути</w:t>
            </w:r>
          </w:p>
        </w:tc>
      </w:tr>
      <w:tr w:rsidR="00E7344B" w:rsidRPr="002D4F1E" w14:paraId="7C1107AB" w14:textId="77777777" w:rsidTr="00367776">
        <w:trPr>
          <w:trHeight w:val="1727"/>
        </w:trPr>
        <w:tc>
          <w:tcPr>
            <w:tcW w:w="9157" w:type="dxa"/>
            <w:gridSpan w:val="3"/>
            <w:tcBorders>
              <w:bottom w:val="single" w:sz="4" w:space="0" w:color="auto"/>
            </w:tcBorders>
            <w:vAlign w:val="center"/>
          </w:tcPr>
          <w:p w14:paraId="4D3C5594" w14:textId="77777777" w:rsidR="00430D53" w:rsidRPr="002D4F1E" w:rsidRDefault="00675257" w:rsidP="002D4F1E">
            <w:pPr>
              <w:pStyle w:val="bul1"/>
              <w:numPr>
                <w:ilvl w:val="0"/>
                <w:numId w:val="0"/>
              </w:numPr>
              <w:spacing w:before="120" w:after="120" w:line="260" w:lineRule="atLeast"/>
              <w:jc w:val="left"/>
              <w:rPr>
                <w:b/>
                <w:sz w:val="22"/>
                <w:szCs w:val="22"/>
              </w:rPr>
            </w:pPr>
            <w:r w:rsidRPr="002D4F1E">
              <w:rPr>
                <w:b/>
                <w:sz w:val="22"/>
                <w:szCs w:val="22"/>
              </w:rPr>
              <w:t>Потребни средства:</w:t>
            </w:r>
            <w:r w:rsidR="00E13BE7" w:rsidRPr="002D4F1E">
              <w:rPr>
                <w:b/>
                <w:sz w:val="22"/>
                <w:szCs w:val="22"/>
              </w:rPr>
              <w:t xml:space="preserve"> </w:t>
            </w:r>
          </w:p>
          <w:p w14:paraId="4235A8EE" w14:textId="620984B6" w:rsidR="00430D53" w:rsidRPr="002D4F1E" w:rsidRDefault="00675257" w:rsidP="002D4F1E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</w:pPr>
            <w:proofErr w:type="spellStart"/>
            <w:r w:rsidRPr="002D4F1E">
              <w:t>Персонален</w:t>
            </w:r>
            <w:proofErr w:type="spellEnd"/>
            <w:r w:rsidRPr="002D4F1E">
              <w:t xml:space="preserve"> </w:t>
            </w:r>
            <w:proofErr w:type="spellStart"/>
            <w:r w:rsidRPr="002D4F1E">
              <w:t>компјутер</w:t>
            </w:r>
            <w:proofErr w:type="spellEnd"/>
            <w:r w:rsidRPr="002D4F1E">
              <w:t>/</w:t>
            </w:r>
            <w:r w:rsidR="007C559F" w:rsidRPr="002D4F1E">
              <w:rPr>
                <w:lang w:val="mk-MK"/>
              </w:rPr>
              <w:t>л</w:t>
            </w:r>
            <w:proofErr w:type="spellStart"/>
            <w:r w:rsidRPr="002D4F1E">
              <w:t>аптоп</w:t>
            </w:r>
            <w:proofErr w:type="spellEnd"/>
            <w:r w:rsidRPr="002D4F1E">
              <w:t xml:space="preserve"> </w:t>
            </w:r>
            <w:proofErr w:type="spellStart"/>
            <w:r w:rsidRPr="002D4F1E">
              <w:t>опремен</w:t>
            </w:r>
            <w:proofErr w:type="spellEnd"/>
            <w:r w:rsidRPr="002D4F1E">
              <w:t xml:space="preserve"> </w:t>
            </w:r>
            <w:proofErr w:type="spellStart"/>
            <w:r w:rsidRPr="002D4F1E">
              <w:t>со</w:t>
            </w:r>
            <w:proofErr w:type="spellEnd"/>
            <w:r w:rsidRPr="002D4F1E">
              <w:t xml:space="preserve"> </w:t>
            </w:r>
            <w:proofErr w:type="spellStart"/>
            <w:r w:rsidRPr="002D4F1E">
              <w:t>софтверски</w:t>
            </w:r>
            <w:proofErr w:type="spellEnd"/>
            <w:r w:rsidRPr="002D4F1E">
              <w:t xml:space="preserve"> верзии </w:t>
            </w:r>
            <w:proofErr w:type="spellStart"/>
            <w:r w:rsidRPr="002D4F1E">
              <w:t>компатибилни</w:t>
            </w:r>
            <w:proofErr w:type="spellEnd"/>
            <w:r w:rsidRPr="002D4F1E">
              <w:t xml:space="preserve"> </w:t>
            </w:r>
            <w:proofErr w:type="spellStart"/>
            <w:r w:rsidRPr="002D4F1E">
              <w:t>со</w:t>
            </w:r>
            <w:proofErr w:type="spellEnd"/>
            <w:r w:rsidRPr="002D4F1E">
              <w:t xml:space="preserve"> </w:t>
            </w:r>
            <w:proofErr w:type="spellStart"/>
            <w:r w:rsidRPr="002D4F1E">
              <w:t>подготвените</w:t>
            </w:r>
            <w:proofErr w:type="spellEnd"/>
            <w:r w:rsidRPr="002D4F1E">
              <w:t xml:space="preserve"> </w:t>
            </w:r>
            <w:proofErr w:type="spellStart"/>
            <w:r w:rsidRPr="002D4F1E">
              <w:t>материјали</w:t>
            </w:r>
            <w:proofErr w:type="spellEnd"/>
            <w:r w:rsidR="00334BD0" w:rsidRPr="002D4F1E">
              <w:t xml:space="preserve"> </w:t>
            </w:r>
          </w:p>
          <w:p w14:paraId="22B81DC8" w14:textId="77777777" w:rsidR="00430D53" w:rsidRPr="002D4F1E" w:rsidRDefault="00675257" w:rsidP="002D4F1E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</w:pPr>
            <w:proofErr w:type="spellStart"/>
            <w:r w:rsidRPr="002D4F1E">
              <w:t>Интернет</w:t>
            </w:r>
            <w:proofErr w:type="spellEnd"/>
            <w:r w:rsidRPr="002D4F1E">
              <w:t xml:space="preserve"> </w:t>
            </w:r>
            <w:proofErr w:type="spellStart"/>
            <w:r w:rsidRPr="002D4F1E">
              <w:t>пристап</w:t>
            </w:r>
            <w:proofErr w:type="spellEnd"/>
            <w:r w:rsidRPr="002D4F1E">
              <w:t xml:space="preserve"> (</w:t>
            </w:r>
            <w:proofErr w:type="spellStart"/>
            <w:r w:rsidRPr="002D4F1E">
              <w:t>доколку</w:t>
            </w:r>
            <w:proofErr w:type="spellEnd"/>
            <w:r w:rsidRPr="002D4F1E">
              <w:t xml:space="preserve"> е </w:t>
            </w:r>
            <w:proofErr w:type="spellStart"/>
            <w:r w:rsidRPr="002D4F1E">
              <w:t>достапен</w:t>
            </w:r>
            <w:proofErr w:type="spellEnd"/>
            <w:r w:rsidRPr="002D4F1E">
              <w:t>)</w:t>
            </w:r>
            <w:r w:rsidR="00334BD0" w:rsidRPr="002D4F1E">
              <w:t xml:space="preserve"> </w:t>
            </w:r>
          </w:p>
          <w:p w14:paraId="14CF9EF0" w14:textId="15356538" w:rsidR="000F7896" w:rsidRPr="002D4F1E" w:rsidRDefault="00430D53" w:rsidP="002D4F1E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</w:pPr>
            <w:r w:rsidRPr="002D4F1E">
              <w:t xml:space="preserve">PowerPoint </w:t>
            </w:r>
            <w:r w:rsidRPr="002D4F1E">
              <w:rPr>
                <w:lang w:val="mk-MK"/>
              </w:rPr>
              <w:t>или друг софтвер за презентации</w:t>
            </w:r>
          </w:p>
        </w:tc>
      </w:tr>
      <w:tr w:rsidR="00430D53" w:rsidRPr="002D4F1E" w14:paraId="0A337048" w14:textId="77777777" w:rsidTr="00367776">
        <w:trPr>
          <w:trHeight w:val="1727"/>
        </w:trPr>
        <w:tc>
          <w:tcPr>
            <w:tcW w:w="9157" w:type="dxa"/>
            <w:gridSpan w:val="3"/>
            <w:tcBorders>
              <w:bottom w:val="single" w:sz="4" w:space="0" w:color="auto"/>
            </w:tcBorders>
            <w:vAlign w:val="center"/>
          </w:tcPr>
          <w:p w14:paraId="2DC01804" w14:textId="77777777" w:rsidR="00430D53" w:rsidRPr="002D4F1E" w:rsidRDefault="00430D53" w:rsidP="002D4F1E">
            <w:pPr>
              <w:pStyle w:val="bul1"/>
              <w:numPr>
                <w:ilvl w:val="0"/>
                <w:numId w:val="0"/>
              </w:numPr>
              <w:spacing w:before="120" w:after="120" w:line="260" w:lineRule="atLeast"/>
              <w:jc w:val="left"/>
              <w:rPr>
                <w:b/>
                <w:sz w:val="22"/>
                <w:szCs w:val="22"/>
                <w:lang w:val="mk-MK"/>
              </w:rPr>
            </w:pPr>
            <w:r w:rsidRPr="002D4F1E">
              <w:rPr>
                <w:b/>
                <w:sz w:val="22"/>
                <w:szCs w:val="22"/>
                <w:lang w:val="mk-MK"/>
              </w:rPr>
              <w:t>Цел на сесијата:</w:t>
            </w:r>
          </w:p>
          <w:p w14:paraId="407601E4" w14:textId="46BF2471" w:rsidR="00430D53" w:rsidRPr="002D4F1E" w:rsidRDefault="00430D53" w:rsidP="002D4F1E">
            <w:pPr>
              <w:pStyle w:val="bul1"/>
              <w:numPr>
                <w:ilvl w:val="0"/>
                <w:numId w:val="0"/>
              </w:numPr>
              <w:spacing w:before="120" w:after="120" w:line="260" w:lineRule="atLeast"/>
              <w:rPr>
                <w:szCs w:val="18"/>
                <w:lang w:val="mk-MK"/>
              </w:rPr>
            </w:pPr>
            <w:r w:rsidRPr="002D4F1E">
              <w:rPr>
                <w:szCs w:val="18"/>
                <w:lang w:val="mk-MK"/>
              </w:rPr>
              <w:t>Целта на оваа сесија е на учесниците да им се овозможи разбирање на некои од клучните предизвици со кои се соочуваат кога станува збор за меѓународната соработка во врска со сајбер-криминалот и електронските докази и можните начини на кои Конвенцијата од Будимпешта и најдобрите практики можат да ги решат овие предизвици.</w:t>
            </w:r>
          </w:p>
        </w:tc>
      </w:tr>
      <w:tr w:rsidR="00A03CF0" w:rsidRPr="002D4F1E" w14:paraId="1B5A80A7" w14:textId="77777777" w:rsidTr="00367776">
        <w:trPr>
          <w:trHeight w:val="983"/>
        </w:trPr>
        <w:tc>
          <w:tcPr>
            <w:tcW w:w="9157" w:type="dxa"/>
            <w:gridSpan w:val="3"/>
            <w:vAlign w:val="center"/>
          </w:tcPr>
          <w:p w14:paraId="559A7E05" w14:textId="2405D04E" w:rsidR="00A03CF0" w:rsidRPr="002D4F1E" w:rsidRDefault="00675257" w:rsidP="002D4F1E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  <w:lang w:val="de-DE"/>
              </w:rPr>
            </w:pPr>
            <w:r w:rsidRPr="002D4F1E">
              <w:rPr>
                <w:rFonts w:ascii="Verdana" w:hAnsi="Verdana"/>
                <w:b/>
                <w:sz w:val="22"/>
                <w:szCs w:val="22"/>
                <w:lang w:val="mk-MK"/>
              </w:rPr>
              <w:t>Цели:</w:t>
            </w:r>
          </w:p>
          <w:p w14:paraId="7552C5F6" w14:textId="0E151888" w:rsidR="000F7896" w:rsidRPr="002D4F1E" w:rsidRDefault="00675257" w:rsidP="002D4F1E">
            <w:pPr>
              <w:tabs>
                <w:tab w:val="left" w:pos="426"/>
                <w:tab w:val="left" w:pos="851"/>
              </w:tabs>
              <w:spacing w:before="120" w:after="120" w:line="260" w:lineRule="atLeast"/>
              <w:rPr>
                <w:rFonts w:ascii="Verdana" w:eastAsia="Times New Roman" w:hAnsi="Verdana" w:cs="Times New Roman"/>
                <w:sz w:val="18"/>
                <w:szCs w:val="18"/>
                <w:lang w:val="de-DE"/>
              </w:rPr>
            </w:pPr>
            <w:r w:rsidRPr="002D4F1E">
              <w:rPr>
                <w:rFonts w:ascii="Verdana" w:eastAsia="Times New Roman" w:hAnsi="Verdana" w:cs="Times New Roman"/>
                <w:sz w:val="18"/>
                <w:szCs w:val="18"/>
                <w:lang w:val="mk-MK"/>
              </w:rPr>
              <w:t>На крајот на оваа сесија, делегатите ќе можат да:</w:t>
            </w:r>
          </w:p>
          <w:p w14:paraId="274FA927" w14:textId="49B7C43C" w:rsidR="00645E05" w:rsidRPr="002D4F1E" w:rsidRDefault="007C559F" w:rsidP="002D4F1E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</w:pPr>
            <w:r w:rsidRPr="002D4F1E">
              <w:rPr>
                <w:lang w:val="mk-MK"/>
              </w:rPr>
              <w:t>г</w:t>
            </w:r>
            <w:r w:rsidR="00657789" w:rsidRPr="002D4F1E">
              <w:rPr>
                <w:lang w:val="mk-MK"/>
              </w:rPr>
              <w:t xml:space="preserve">и препознаат </w:t>
            </w:r>
            <w:r w:rsidR="00675257" w:rsidRPr="002D4F1E">
              <w:rPr>
                <w:lang w:val="mk-MK"/>
              </w:rPr>
              <w:t xml:space="preserve">клучните предизвици поврзани со меѓународна соработка во врска со </w:t>
            </w:r>
            <w:r w:rsidRPr="002D4F1E">
              <w:rPr>
                <w:lang w:val="mk-MK"/>
              </w:rPr>
              <w:t>с</w:t>
            </w:r>
            <w:r w:rsidR="00675257" w:rsidRPr="002D4F1E">
              <w:rPr>
                <w:lang w:val="mk-MK"/>
              </w:rPr>
              <w:t>ајбер-криминал и електронски докази</w:t>
            </w:r>
          </w:p>
          <w:p w14:paraId="36190D91" w14:textId="61286D5C" w:rsidR="00645E05" w:rsidRPr="002D4F1E" w:rsidRDefault="007C559F" w:rsidP="002D4F1E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</w:pPr>
            <w:r w:rsidRPr="002D4F1E">
              <w:rPr>
                <w:lang w:val="mk-MK"/>
              </w:rPr>
              <w:t>г</w:t>
            </w:r>
            <w:r w:rsidR="00657789" w:rsidRPr="002D4F1E">
              <w:rPr>
                <w:lang w:val="mk-MK"/>
              </w:rPr>
              <w:t>и идентификуваат</w:t>
            </w:r>
            <w:r w:rsidR="00675257" w:rsidRPr="002D4F1E">
              <w:rPr>
                <w:lang w:val="mk-MK"/>
              </w:rPr>
              <w:t xml:space="preserve"> практични</w:t>
            </w:r>
            <w:r w:rsidR="00657789" w:rsidRPr="002D4F1E">
              <w:rPr>
                <w:lang w:val="mk-MK"/>
              </w:rPr>
              <w:t>те</w:t>
            </w:r>
            <w:r w:rsidR="00675257" w:rsidRPr="002D4F1E">
              <w:rPr>
                <w:lang w:val="mk-MK"/>
              </w:rPr>
              <w:t xml:space="preserve"> импликации поставени од клучните предизвици поврзани со меѓународна соработка</w:t>
            </w:r>
            <w:r w:rsidR="00645E05" w:rsidRPr="002D4F1E">
              <w:t xml:space="preserve"> </w:t>
            </w:r>
          </w:p>
          <w:p w14:paraId="61ABEAC5" w14:textId="5C94235B" w:rsidR="00C45A81" w:rsidRPr="002D4F1E" w:rsidRDefault="007C559F" w:rsidP="002D4F1E">
            <w:pPr>
              <w:pStyle w:val="bul1"/>
              <w:numPr>
                <w:ilvl w:val="0"/>
                <w:numId w:val="11"/>
              </w:numPr>
              <w:spacing w:before="120" w:after="120" w:line="260" w:lineRule="atLeast"/>
            </w:pPr>
            <w:r w:rsidRPr="002D4F1E">
              <w:rPr>
                <w:lang w:val="mk-MK"/>
              </w:rPr>
              <w:t>г</w:t>
            </w:r>
            <w:r w:rsidR="00657789" w:rsidRPr="002D4F1E">
              <w:rPr>
                <w:lang w:val="mk-MK"/>
              </w:rPr>
              <w:t>и истражат</w:t>
            </w:r>
            <w:r w:rsidR="00675257" w:rsidRPr="002D4F1E">
              <w:rPr>
                <w:lang w:val="mk-MK"/>
              </w:rPr>
              <w:t xml:space="preserve"> можни</w:t>
            </w:r>
            <w:r w:rsidR="00657789" w:rsidRPr="002D4F1E">
              <w:rPr>
                <w:lang w:val="mk-MK"/>
              </w:rPr>
              <w:t>те</w:t>
            </w:r>
            <w:r w:rsidR="00675257" w:rsidRPr="002D4F1E">
              <w:rPr>
                <w:lang w:val="mk-MK"/>
              </w:rPr>
              <w:t xml:space="preserve"> решенија за решавање на предизвиците поврзани со меѓународна соработка</w:t>
            </w:r>
            <w:r w:rsidR="00645E05" w:rsidRPr="002D4F1E">
              <w:t xml:space="preserve"> </w:t>
            </w:r>
          </w:p>
        </w:tc>
      </w:tr>
      <w:tr w:rsidR="005703B7" w:rsidRPr="002D4F1E" w14:paraId="03110757" w14:textId="77777777" w:rsidTr="00367776">
        <w:trPr>
          <w:trHeight w:val="58"/>
        </w:trPr>
        <w:tc>
          <w:tcPr>
            <w:tcW w:w="9157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1F644652" w:rsidR="005703B7" w:rsidRPr="002D4F1E" w:rsidRDefault="00675257" w:rsidP="002D4F1E">
            <w:pPr>
              <w:spacing w:before="120" w:after="120" w:line="260" w:lineRule="atLeast"/>
              <w:rPr>
                <w:rFonts w:ascii="Verdana" w:hAnsi="Verdana"/>
                <w:b/>
                <w:color w:val="000000" w:themeColor="text1"/>
                <w:sz w:val="22"/>
                <w:szCs w:val="22"/>
                <w:lang w:val="de-DE"/>
              </w:rPr>
            </w:pPr>
            <w:r w:rsidRPr="002D4F1E">
              <w:rPr>
                <w:rFonts w:ascii="Verdana" w:hAnsi="Verdana"/>
                <w:b/>
                <w:color w:val="000000" w:themeColor="text1"/>
                <w:sz w:val="22"/>
                <w:szCs w:val="22"/>
                <w:lang w:val="mk-MK"/>
              </w:rPr>
              <w:t>Упатство за обучувачи</w:t>
            </w:r>
          </w:p>
          <w:p w14:paraId="5EFF4BEF" w14:textId="3F21641E" w:rsidR="00C45A81" w:rsidRPr="002D4F1E" w:rsidRDefault="00675257" w:rsidP="002D4F1E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Слајдовите идентификуваат некои до клучните предизвици со кои може да се соочат кога станува збор за меѓународна соработка во врска со сајбер-криминал</w:t>
            </w:r>
            <w:r w:rsidR="007C559F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от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и електронски</w:t>
            </w:r>
            <w:r w:rsidR="007C559F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те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докази.</w:t>
            </w:r>
            <w:r w:rsidR="00645E05" w:rsidRPr="002D4F1E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7C559F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Истата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вклучува предизви</w:t>
            </w:r>
            <w:r w:rsidR="007C559F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ци во однос на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брзина</w:t>
            </w:r>
            <w:r w:rsidR="007C559F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та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, јазик</w:t>
            </w:r>
            <w:r w:rsidR="007C559F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от на комуникација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, време</w:t>
            </w:r>
            <w:r w:rsidR="007C559F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то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, различна</w:t>
            </w:r>
            <w:r w:rsidR="007C559F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та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правна традиција и</w:t>
            </w:r>
            <w:r w:rsidR="007C559F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</w:t>
            </w:r>
            <w:r w:rsidR="00367776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утврде</w:t>
            </w:r>
            <w:r w:rsidR="00367026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ните својства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.</w:t>
            </w:r>
            <w:r w:rsidR="00645E05" w:rsidRPr="002D4F1E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Доколку обучувачот доживеал какви било предизвици во однос на меѓународната соработка, овие практични примери треба да</w:t>
            </w:r>
            <w:r w:rsidR="00657789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бидат споделени со учесниците.</w:t>
            </w:r>
            <w:r w:rsidR="00645E05" w:rsidRPr="002D4F1E">
              <w:rPr>
                <w:rFonts w:ascii="Verdana" w:hAnsi="Verdana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="00657789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Исто така, о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д учесниците може да се побара да ги споделат своите искуства кога станува збор за меѓународна соработка и дали нешто од она што го научиле за време на овој курс ќе им помогне </w:t>
            </w:r>
            <w:r w:rsidR="00657789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во иднина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.</w:t>
            </w:r>
            <w:r w:rsidR="00645E05" w:rsidRPr="002D4F1E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</w:p>
        </w:tc>
      </w:tr>
      <w:tr w:rsidR="005A4E47" w:rsidRPr="002D4F1E" w14:paraId="7760520D" w14:textId="77777777" w:rsidTr="00367776">
        <w:trPr>
          <w:trHeight w:val="728"/>
        </w:trPr>
        <w:tc>
          <w:tcPr>
            <w:tcW w:w="9157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4E63198F" w:rsidR="005A4E47" w:rsidRPr="002D4F1E" w:rsidRDefault="00675257" w:rsidP="002D4F1E">
            <w:pPr>
              <w:spacing w:before="120" w:after="120" w:line="260" w:lineRule="atLeast"/>
              <w:rPr>
                <w:rFonts w:ascii="Verdana" w:hAnsi="Verdana"/>
                <w:b/>
                <w:sz w:val="28"/>
                <w:szCs w:val="28"/>
              </w:rPr>
            </w:pPr>
            <w:r w:rsidRPr="002D4F1E">
              <w:rPr>
                <w:rFonts w:ascii="Verdana" w:hAnsi="Verdana"/>
                <w:b/>
                <w:sz w:val="28"/>
                <w:szCs w:val="28"/>
                <w:lang w:val="mk-MK"/>
              </w:rPr>
              <w:t>Содржина на лекцијата</w:t>
            </w:r>
          </w:p>
        </w:tc>
      </w:tr>
      <w:tr w:rsidR="00F1574D" w:rsidRPr="002D4F1E" w14:paraId="57CC7AA4" w14:textId="77777777" w:rsidTr="00367776">
        <w:trPr>
          <w:trHeight w:val="629"/>
        </w:trPr>
        <w:tc>
          <w:tcPr>
            <w:tcW w:w="1672" w:type="dxa"/>
            <w:shd w:val="clear" w:color="auto" w:fill="D9E2F3" w:themeFill="accent1" w:themeFillTint="33"/>
            <w:vAlign w:val="center"/>
          </w:tcPr>
          <w:p w14:paraId="4538C338" w14:textId="4AD85B11" w:rsidR="00D82C18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D4F1E">
              <w:rPr>
                <w:rFonts w:ascii="Verdana" w:hAnsi="Verdana"/>
                <w:b/>
                <w:sz w:val="22"/>
                <w:szCs w:val="22"/>
                <w:lang w:val="mk-MK"/>
              </w:rPr>
              <w:t>Број на слајдови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692A6607" w:rsidR="00D82C18" w:rsidRPr="002D4F1E" w:rsidRDefault="00675257" w:rsidP="002D4F1E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2D4F1E">
              <w:rPr>
                <w:rFonts w:ascii="Verdana" w:hAnsi="Verdana"/>
                <w:b/>
                <w:sz w:val="22"/>
                <w:szCs w:val="22"/>
                <w:lang w:val="mk-MK"/>
              </w:rPr>
              <w:t>Содржина</w:t>
            </w:r>
          </w:p>
        </w:tc>
      </w:tr>
      <w:tr w:rsidR="00F1574D" w:rsidRPr="002D4F1E" w14:paraId="11A12D7E" w14:textId="77777777" w:rsidTr="00367776">
        <w:trPr>
          <w:trHeight w:val="591"/>
        </w:trPr>
        <w:tc>
          <w:tcPr>
            <w:tcW w:w="1672" w:type="dxa"/>
            <w:vAlign w:val="center"/>
          </w:tcPr>
          <w:p w14:paraId="67083237" w14:textId="1A9905FE" w:rsidR="00D82C18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1 до 3</w:t>
            </w:r>
          </w:p>
          <w:p w14:paraId="5A89CF27" w14:textId="7B87A6E1" w:rsidR="00F1574D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36345B59" w14:textId="1E19FC21" w:rsidR="00556D69" w:rsidRPr="002D4F1E" w:rsidRDefault="00675257" w:rsidP="002D4F1E">
            <w:pPr>
              <w:spacing w:before="120" w:after="120" w:line="260" w:lineRule="atLeast"/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Почетните слајдови се воведот во сесијата и ги содржат </w:t>
            </w:r>
            <w:r w:rsidR="00657789"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дневниот ред</w:t>
            </w: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и целите на сесијата.</w:t>
            </w:r>
            <w:r w:rsidR="00556D69" w:rsidRPr="002D4F1E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574D" w:rsidRPr="002D4F1E" w14:paraId="65F07CB5" w14:textId="77777777" w:rsidTr="00367776">
        <w:trPr>
          <w:trHeight w:val="462"/>
        </w:trPr>
        <w:tc>
          <w:tcPr>
            <w:tcW w:w="1672" w:type="dxa"/>
            <w:vAlign w:val="center"/>
          </w:tcPr>
          <w:p w14:paraId="56AF6365" w14:textId="65EA312A" w:rsidR="00D82C18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4 до 10</w:t>
            </w:r>
          </w:p>
          <w:p w14:paraId="6F5AEB2D" w14:textId="646CF46B" w:rsidR="00F1574D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649FEA68" w14:textId="064A3461" w:rsidR="0062475C" w:rsidRPr="002D4F1E" w:rsidRDefault="00675257" w:rsidP="002D4F1E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Овие слајдови дискутираат за предизвикот за брзина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>та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– имено, инхерентното барање 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за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меѓународната соработка во врска со сајбер-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криминал и електронски докази да се спроведе со брзо темпо и како тоа се справува против процесите на заемна правна помош кои се инхерентно бавни.</w:t>
            </w:r>
            <w:r w:rsidR="00645E05" w:rsidRPr="002D4F1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Слајдот идентификува практично решение – барајќи зачувување на податоците што се бараат од 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>друга судска надлежност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.</w:t>
            </w:r>
            <w:r w:rsidR="00645E05" w:rsidRPr="002D4F1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Овој дел завршува со анкетно прашање.</w:t>
            </w:r>
          </w:p>
        </w:tc>
      </w:tr>
      <w:tr w:rsidR="00F1574D" w:rsidRPr="002D4F1E" w14:paraId="15587DD6" w14:textId="77777777" w:rsidTr="00367776">
        <w:trPr>
          <w:trHeight w:val="1916"/>
        </w:trPr>
        <w:tc>
          <w:tcPr>
            <w:tcW w:w="1672" w:type="dxa"/>
            <w:vAlign w:val="center"/>
          </w:tcPr>
          <w:p w14:paraId="5EBB803A" w14:textId="67C8188B" w:rsidR="00556D69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11 до 14</w:t>
            </w:r>
          </w:p>
          <w:p w14:paraId="65C32028" w14:textId="02628C41" w:rsidR="00F1574D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09B58FC0" w14:textId="12FA6B39" w:rsidR="00637AFB" w:rsidRPr="002D4F1E" w:rsidRDefault="00675257" w:rsidP="002D4F1E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Овие слајдови дискутираат за предизвикот 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поврзан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со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јазикот – имено, предизвикот за работа низ повеќе 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>судски надлежности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каде што се користат различни јазици во правните системи.</w:t>
            </w:r>
            <w:r w:rsidR="00645E05" w:rsidRPr="002D4F1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И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сто така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,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идентификува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ни се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одредени мерки што можат да се донесат за решавање на овој предизвик, како што е поднесувањ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е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барање 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н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а јазикот 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од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правниот систем на 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замоле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>ната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земја, обезбедување преводи и придружни документи и усогласување со барањата за превод.</w:t>
            </w:r>
          </w:p>
        </w:tc>
      </w:tr>
      <w:tr w:rsidR="00F1574D" w:rsidRPr="002D4F1E" w14:paraId="4F010995" w14:textId="77777777" w:rsidTr="00367776">
        <w:trPr>
          <w:trHeight w:val="791"/>
        </w:trPr>
        <w:tc>
          <w:tcPr>
            <w:tcW w:w="1672" w:type="dxa"/>
            <w:vAlign w:val="center"/>
          </w:tcPr>
          <w:p w14:paraId="0EC3C0F5" w14:textId="27C508E2" w:rsidR="00C70C5C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15 до 19</w:t>
            </w:r>
          </w:p>
          <w:p w14:paraId="48504862" w14:textId="4CF29DEB" w:rsidR="00334BD0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4AF5B3D7" w14:textId="58B8C89C" w:rsidR="0095051C" w:rsidRPr="002D4F1E" w:rsidRDefault="00675257" w:rsidP="002D4F1E">
            <w:pPr>
              <w:pStyle w:val="Subtitle"/>
              <w:spacing w:before="120" w:line="260" w:lineRule="atLeast"/>
              <w:rPr>
                <w:rFonts w:ascii="Verdana" w:eastAsia="Times New Roman" w:hAnsi="Verdana"/>
                <w:iCs w:val="0"/>
              </w:rPr>
            </w:pPr>
            <w:r w:rsidRPr="002D4F1E">
              <w:rPr>
                <w:rFonts w:ascii="Verdana" w:hAnsi="Verdana"/>
                <w:szCs w:val="18"/>
                <w:lang w:val="mk-MK"/>
              </w:rPr>
              <w:t xml:space="preserve">Овие слајдови дискутираат за предизвикот </w:t>
            </w:r>
            <w:r w:rsidR="00367776" w:rsidRPr="002D4F1E">
              <w:rPr>
                <w:rFonts w:ascii="Verdana" w:hAnsi="Verdana"/>
                <w:szCs w:val="18"/>
                <w:lang w:val="mk-MK"/>
              </w:rPr>
              <w:t>со</w:t>
            </w:r>
            <w:r w:rsidRPr="002D4F1E">
              <w:rPr>
                <w:rFonts w:ascii="Verdana" w:hAnsi="Verdana"/>
                <w:szCs w:val="18"/>
                <w:lang w:val="mk-MK"/>
              </w:rPr>
              <w:t xml:space="preserve"> времето – имено предизвикот со ра</w:t>
            </w:r>
            <w:r w:rsidR="000D2A20" w:rsidRPr="002D4F1E">
              <w:rPr>
                <w:rFonts w:ascii="Verdana" w:hAnsi="Verdana"/>
                <w:szCs w:val="18"/>
                <w:lang w:val="mk-MK"/>
              </w:rPr>
              <w:t>бота низ повеќе временски зони.</w:t>
            </w:r>
            <w:r w:rsidR="00645E05" w:rsidRPr="002D4F1E">
              <w:rPr>
                <w:rFonts w:ascii="Verdana" w:hAnsi="Verdana"/>
                <w:szCs w:val="18"/>
              </w:rPr>
              <w:t xml:space="preserve"> </w:t>
            </w:r>
            <w:r w:rsidRPr="002D4F1E">
              <w:rPr>
                <w:rFonts w:ascii="Verdana" w:hAnsi="Verdana"/>
                <w:szCs w:val="18"/>
                <w:lang w:val="mk-MK"/>
              </w:rPr>
              <w:t>Бидејќи временските</w:t>
            </w:r>
            <w:r w:rsidR="00367776" w:rsidRPr="002D4F1E">
              <w:rPr>
                <w:rFonts w:ascii="Verdana" w:hAnsi="Verdana"/>
                <w:szCs w:val="18"/>
                <w:lang w:val="mk-MK"/>
              </w:rPr>
              <w:t xml:space="preserve"> логови (</w:t>
            </w:r>
            <w:r w:rsidR="00367776" w:rsidRPr="002D4F1E">
              <w:rPr>
                <w:rFonts w:ascii="Verdana" w:hAnsi="Verdana"/>
                <w:szCs w:val="18"/>
                <w:lang w:val="en-US"/>
              </w:rPr>
              <w:t>timestamps)</w:t>
            </w:r>
            <w:r w:rsidRPr="002D4F1E">
              <w:rPr>
                <w:rFonts w:ascii="Verdana" w:hAnsi="Verdana"/>
                <w:szCs w:val="18"/>
                <w:lang w:val="mk-MK"/>
              </w:rPr>
              <w:t xml:space="preserve"> се особено клучни </w:t>
            </w:r>
            <w:r w:rsidR="000D2A20" w:rsidRPr="002D4F1E">
              <w:rPr>
                <w:rFonts w:ascii="Verdana" w:hAnsi="Verdana"/>
                <w:szCs w:val="18"/>
                <w:lang w:val="mk-MK"/>
              </w:rPr>
              <w:t>за да се обезбеди бара</w:t>
            </w:r>
            <w:r w:rsidR="00367776" w:rsidRPr="002D4F1E">
              <w:rPr>
                <w:rFonts w:ascii="Verdana" w:hAnsi="Verdana"/>
                <w:szCs w:val="18"/>
                <w:lang w:val="mk-MK"/>
              </w:rPr>
              <w:t>ње</w:t>
            </w:r>
            <w:r w:rsidRPr="002D4F1E">
              <w:rPr>
                <w:rFonts w:ascii="Verdana" w:hAnsi="Verdana"/>
                <w:szCs w:val="18"/>
                <w:lang w:val="mk-MK"/>
              </w:rPr>
              <w:t>, добив</w:t>
            </w:r>
            <w:r w:rsidR="00367776" w:rsidRPr="002D4F1E">
              <w:rPr>
                <w:rFonts w:ascii="Verdana" w:hAnsi="Verdana"/>
                <w:szCs w:val="18"/>
                <w:lang w:val="mk-MK"/>
              </w:rPr>
              <w:t>ање</w:t>
            </w:r>
            <w:r w:rsidRPr="002D4F1E">
              <w:rPr>
                <w:rFonts w:ascii="Verdana" w:hAnsi="Verdana"/>
                <w:szCs w:val="18"/>
                <w:lang w:val="mk-MK"/>
              </w:rPr>
              <w:t xml:space="preserve"> и процен</w:t>
            </w:r>
            <w:r w:rsidR="00367776" w:rsidRPr="002D4F1E">
              <w:rPr>
                <w:rFonts w:ascii="Verdana" w:hAnsi="Verdana"/>
                <w:szCs w:val="18"/>
                <w:lang w:val="mk-MK"/>
              </w:rPr>
              <w:t>ка на</w:t>
            </w:r>
            <w:r w:rsidRPr="002D4F1E">
              <w:rPr>
                <w:rFonts w:ascii="Verdana" w:hAnsi="Verdana"/>
                <w:szCs w:val="18"/>
                <w:lang w:val="mk-MK"/>
              </w:rPr>
              <w:t xml:space="preserve"> точни информации, земјите мораат да бидат внимателни за тоа како ги наведуваат барањата за да се минимизира можноста за какви било грешки.</w:t>
            </w:r>
          </w:p>
        </w:tc>
      </w:tr>
      <w:tr w:rsidR="00CE67EA" w:rsidRPr="002D4F1E" w14:paraId="36E3D895" w14:textId="77777777" w:rsidTr="00367776">
        <w:trPr>
          <w:trHeight w:val="791"/>
        </w:trPr>
        <w:tc>
          <w:tcPr>
            <w:tcW w:w="1672" w:type="dxa"/>
            <w:vAlign w:val="center"/>
          </w:tcPr>
          <w:p w14:paraId="14511361" w14:textId="2A752DD6" w:rsidR="00CA7AE4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20 до 42</w:t>
            </w:r>
          </w:p>
          <w:p w14:paraId="3303FBB7" w14:textId="6C6C227D" w:rsidR="00CE67EA" w:rsidRPr="002D4F1E" w:rsidRDefault="00675257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Задолжителни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3ADC7791" w14:textId="001A87C9" w:rsidR="00CE67EA" w:rsidRPr="002D4F1E" w:rsidRDefault="00DE397B" w:rsidP="002D4F1E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Овие слајдови дискутираат за предизвикот 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со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различни правни традиции.</w:t>
            </w:r>
            <w:r w:rsidR="00975170" w:rsidRPr="002D4F1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Ова е еден од најголемите предизвици кога станува збор за соработка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та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.</w:t>
            </w:r>
            <w:r w:rsidR="00975170" w:rsidRPr="002D4F1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Природата на сајбер-криминал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от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и ел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>ектронски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те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докази честопати бара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земјите без политички и правни врски да соработуваат едни со други.</w:t>
            </w:r>
            <w:r w:rsidR="00975170" w:rsidRPr="002D4F1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Овие слајдови прво ги идентификуваат 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>различните видови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правни системи, пред да објаснат како варијациите во правните системи можат да претстав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ува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ат предизви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к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во однос на меѓународната соработка.</w:t>
            </w:r>
            <w:r w:rsidR="00975170" w:rsidRPr="002D4F1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975170" w:rsidRPr="002D4F1E" w14:paraId="35736C4C" w14:textId="77777777" w:rsidTr="00367776">
        <w:trPr>
          <w:trHeight w:val="791"/>
        </w:trPr>
        <w:tc>
          <w:tcPr>
            <w:tcW w:w="1672" w:type="dxa"/>
            <w:vAlign w:val="center"/>
          </w:tcPr>
          <w:p w14:paraId="2831EDCE" w14:textId="07CC0477" w:rsidR="00975170" w:rsidRPr="002D4F1E" w:rsidRDefault="00DE397B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43 до 50</w:t>
            </w:r>
          </w:p>
        </w:tc>
        <w:tc>
          <w:tcPr>
            <w:tcW w:w="7485" w:type="dxa"/>
            <w:gridSpan w:val="2"/>
            <w:vAlign w:val="center"/>
          </w:tcPr>
          <w:p w14:paraId="1E7CD13A" w14:textId="4E1338F0" w:rsidR="00975170" w:rsidRPr="002D4F1E" w:rsidRDefault="00DE397B" w:rsidP="002D4F1E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Овие слајдови дискутираат за предизвиците 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во однос на утврдените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својств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а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– поврзување на осомничено лице со одреден уред во 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даде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но време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>, с</w:t>
            </w:r>
            <w:r w:rsidR="000D2A20" w:rsidRPr="002D4F1E">
              <w:rPr>
                <w:rFonts w:ascii="Calibri" w:hAnsi="Calibri" w:cs="Calibri"/>
                <w:sz w:val="18"/>
                <w:szCs w:val="18"/>
                <w:lang w:val="mk-MK"/>
              </w:rPr>
              <w:t>ѐ</w:t>
            </w: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до нивото на докажување што го бара локалниот правен систем.</w:t>
            </w:r>
            <w:r w:rsidR="00523B79" w:rsidRPr="002D4F1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E2C16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Бидејќи разни делови од информациите што се складирани 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на </w:t>
            </w:r>
            <w:r w:rsidR="007E2C16" w:rsidRPr="002D4F1E">
              <w:rPr>
                <w:rFonts w:ascii="Verdana" w:hAnsi="Verdana"/>
                <w:sz w:val="18"/>
                <w:szCs w:val="18"/>
                <w:lang w:val="mk-MK"/>
              </w:rPr>
              <w:t>различни места, веројатн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>о во различни судски надлежности</w:t>
            </w:r>
            <w:r w:rsidR="007E2C16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, помагаат да се </w:t>
            </w:r>
            <w:r w:rsidR="00367776" w:rsidRPr="002D4F1E">
              <w:rPr>
                <w:rFonts w:ascii="Verdana" w:hAnsi="Verdana"/>
                <w:sz w:val="18"/>
                <w:szCs w:val="18"/>
                <w:lang w:val="mk-MK"/>
              </w:rPr>
              <w:t>комплетира</w:t>
            </w:r>
            <w:r w:rsidR="007E2C16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 својството, честопати </w:t>
            </w:r>
            <w:r w:rsidR="000D2A20" w:rsidRPr="002D4F1E">
              <w:rPr>
                <w:rFonts w:ascii="Verdana" w:hAnsi="Verdana"/>
                <w:sz w:val="18"/>
                <w:szCs w:val="18"/>
                <w:lang w:val="mk-MK"/>
              </w:rPr>
              <w:t xml:space="preserve">претставува </w:t>
            </w:r>
            <w:r w:rsidR="007E2C16" w:rsidRPr="002D4F1E">
              <w:rPr>
                <w:rFonts w:ascii="Verdana" w:hAnsi="Verdana"/>
                <w:sz w:val="18"/>
                <w:szCs w:val="18"/>
                <w:lang w:val="mk-MK"/>
              </w:rPr>
              <w:t>предизвик да се соберат сите такви информации.</w:t>
            </w:r>
            <w:r w:rsidR="0081797A" w:rsidRPr="002D4F1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CA7AE4" w:rsidRPr="002D4F1E" w14:paraId="22C5AB80" w14:textId="77777777" w:rsidTr="00367776">
        <w:trPr>
          <w:trHeight w:val="791"/>
        </w:trPr>
        <w:tc>
          <w:tcPr>
            <w:tcW w:w="1672" w:type="dxa"/>
            <w:vAlign w:val="center"/>
          </w:tcPr>
          <w:p w14:paraId="0D063FA8" w14:textId="16069F04" w:rsidR="00CA7AE4" w:rsidRPr="002D4F1E" w:rsidRDefault="007E2C16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51 до 53</w:t>
            </w:r>
          </w:p>
          <w:p w14:paraId="209E53F0" w14:textId="170F0FDB" w:rsidR="00CA7AE4" w:rsidRPr="002D4F1E" w:rsidRDefault="007E2C16" w:rsidP="002D4F1E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Важни слајдови</w:t>
            </w:r>
          </w:p>
        </w:tc>
        <w:tc>
          <w:tcPr>
            <w:tcW w:w="7485" w:type="dxa"/>
            <w:gridSpan w:val="2"/>
            <w:vAlign w:val="center"/>
          </w:tcPr>
          <w:p w14:paraId="7506D927" w14:textId="40A2EED8" w:rsidR="00CA7AE4" w:rsidRPr="002D4F1E" w:rsidRDefault="007E2C16" w:rsidP="002D4F1E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sz w:val="18"/>
                <w:szCs w:val="18"/>
                <w:lang w:val="mk-MK"/>
              </w:rPr>
              <w:t>Обучувачот треба да ги повтори целите на сесијата со делегатите и да им даде можност да постават какви било прашања во врска со материјалите опфатени во овој модул.</w:t>
            </w:r>
          </w:p>
        </w:tc>
      </w:tr>
      <w:tr w:rsidR="00CB3026" w:rsidRPr="002D4F1E" w14:paraId="2ECF09B7" w14:textId="77777777" w:rsidTr="00367776">
        <w:trPr>
          <w:trHeight w:val="890"/>
        </w:trPr>
        <w:tc>
          <w:tcPr>
            <w:tcW w:w="9157" w:type="dxa"/>
            <w:gridSpan w:val="3"/>
            <w:vAlign w:val="center"/>
          </w:tcPr>
          <w:p w14:paraId="55ED1F4B" w14:textId="29B65ADA" w:rsidR="00CB3026" w:rsidRPr="002D4F1E" w:rsidRDefault="007E2C16" w:rsidP="002D4F1E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2D4F1E">
              <w:rPr>
                <w:rFonts w:ascii="Verdana" w:hAnsi="Verdana"/>
                <w:b/>
                <w:sz w:val="22"/>
                <w:szCs w:val="22"/>
                <w:lang w:val="mk-MK"/>
              </w:rPr>
              <w:t>Практични вежби</w:t>
            </w:r>
          </w:p>
          <w:p w14:paraId="04D65D89" w14:textId="53C82B0C" w:rsidR="00CB3026" w:rsidRPr="002D4F1E" w:rsidRDefault="007E2C16" w:rsidP="002D4F1E">
            <w:pPr>
              <w:spacing w:before="120" w:after="120" w:line="260" w:lineRule="atLeast"/>
              <w:rPr>
                <w:rFonts w:ascii="Verdana" w:hAnsi="Verdana"/>
                <w:sz w:val="18"/>
                <w:szCs w:val="18"/>
              </w:rPr>
            </w:pP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Нема практични вежби поврзани со оваа лекција.</w:t>
            </w:r>
            <w:r w:rsidR="00975170" w:rsidRPr="002D4F1E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3026" w:rsidRPr="002D4F1E" w14:paraId="603967A2" w14:textId="77777777" w:rsidTr="00367776">
        <w:tc>
          <w:tcPr>
            <w:tcW w:w="9157" w:type="dxa"/>
            <w:gridSpan w:val="3"/>
            <w:vAlign w:val="center"/>
          </w:tcPr>
          <w:p w14:paraId="57B48D1E" w14:textId="41283AA2" w:rsidR="00CB3026" w:rsidRPr="002D4F1E" w:rsidRDefault="007E2C16" w:rsidP="002D4F1E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2D4F1E">
              <w:rPr>
                <w:rFonts w:ascii="Verdana" w:hAnsi="Verdana"/>
                <w:b/>
                <w:sz w:val="22"/>
                <w:szCs w:val="22"/>
                <w:lang w:val="mk-MK"/>
              </w:rPr>
              <w:t>Проценка/Проверување на знаење</w:t>
            </w:r>
          </w:p>
          <w:p w14:paraId="4496975B" w14:textId="3F5E396F" w:rsidR="00CB3026" w:rsidRPr="002D4F1E" w:rsidRDefault="007E2C16" w:rsidP="002D4F1E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D4F1E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За оваа сесија не е потребна проверка или проценка на знаењето.</w:t>
            </w:r>
          </w:p>
        </w:tc>
      </w:tr>
    </w:tbl>
    <w:p w14:paraId="15498912" w14:textId="77777777" w:rsidR="00D82C18" w:rsidRPr="002D4F1E" w:rsidRDefault="00D82C18" w:rsidP="002D4F1E">
      <w:pPr>
        <w:spacing w:before="120" w:after="120" w:line="260" w:lineRule="atLeast"/>
        <w:rPr>
          <w:rFonts w:ascii="Verdana" w:hAnsi="Verdana"/>
        </w:rPr>
      </w:pPr>
    </w:p>
    <w:sectPr w:rsidR="00D82C18" w:rsidRPr="002D4F1E" w:rsidSect="00F15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AEADE" w14:textId="77777777" w:rsidR="00EA162F" w:rsidRDefault="00EA162F" w:rsidP="00A90E0F">
      <w:r>
        <w:separator/>
      </w:r>
    </w:p>
  </w:endnote>
  <w:endnote w:type="continuationSeparator" w:id="0">
    <w:p w14:paraId="29B5AEA3" w14:textId="77777777" w:rsidR="00EA162F" w:rsidRDefault="00EA162F" w:rsidP="00A9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607F6" w14:textId="77777777" w:rsidR="00A90E0F" w:rsidRDefault="00A90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4555A" w14:textId="77777777" w:rsidR="00A90E0F" w:rsidRDefault="00A90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62584" w14:textId="77777777" w:rsidR="00A90E0F" w:rsidRDefault="00A90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290B4" w14:textId="77777777" w:rsidR="00EA162F" w:rsidRDefault="00EA162F" w:rsidP="00A90E0F">
      <w:r>
        <w:separator/>
      </w:r>
    </w:p>
  </w:footnote>
  <w:footnote w:type="continuationSeparator" w:id="0">
    <w:p w14:paraId="41F09A1A" w14:textId="77777777" w:rsidR="00EA162F" w:rsidRDefault="00EA162F" w:rsidP="00A90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3D587" w14:textId="77777777" w:rsidR="00A90E0F" w:rsidRDefault="00A90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9A5DB" w14:textId="77777777" w:rsidR="00A90E0F" w:rsidRDefault="00A90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ACCAE" w14:textId="77777777" w:rsidR="00A90E0F" w:rsidRDefault="00A90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45266B2"/>
    <w:multiLevelType w:val="hybridMultilevel"/>
    <w:tmpl w:val="F43057EC"/>
    <w:lvl w:ilvl="0" w:tplc="77BA8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AF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B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28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0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46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26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89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ED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860D4"/>
    <w:multiLevelType w:val="hybridMultilevel"/>
    <w:tmpl w:val="F022C83E"/>
    <w:lvl w:ilvl="0" w:tplc="689C86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30D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20E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2B9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BED0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276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623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03D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486C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63F1"/>
    <w:multiLevelType w:val="hybridMultilevel"/>
    <w:tmpl w:val="B5AC0418"/>
    <w:lvl w:ilvl="0" w:tplc="8C82C4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E98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EA0A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293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CAB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C9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E2E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42E1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A0E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81F22"/>
    <w:multiLevelType w:val="hybridMultilevel"/>
    <w:tmpl w:val="19D4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EA365F"/>
    <w:multiLevelType w:val="hybridMultilevel"/>
    <w:tmpl w:val="197021C0"/>
    <w:lvl w:ilvl="0" w:tplc="1396E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878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A4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5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228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62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0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C4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058DF"/>
    <w:multiLevelType w:val="hybridMultilevel"/>
    <w:tmpl w:val="FE9681DE"/>
    <w:lvl w:ilvl="0" w:tplc="0A8AC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26929"/>
    <w:multiLevelType w:val="hybridMultilevel"/>
    <w:tmpl w:val="3D1011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5787F"/>
    <w:multiLevelType w:val="hybridMultilevel"/>
    <w:tmpl w:val="CF70B332"/>
    <w:lvl w:ilvl="0" w:tplc="FCE226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1ED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4BF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A9D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4260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0409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8FB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B6DE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CC3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5"/>
  </w:num>
  <w:num w:numId="7">
    <w:abstractNumId w:val="5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1"/>
  </w:num>
  <w:num w:numId="11">
    <w:abstractNumId w:val="13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18"/>
    <w:rsid w:val="00051376"/>
    <w:rsid w:val="000C40EE"/>
    <w:rsid w:val="000D0409"/>
    <w:rsid w:val="000D2A20"/>
    <w:rsid w:val="000F04E4"/>
    <w:rsid w:val="000F7896"/>
    <w:rsid w:val="001D603D"/>
    <w:rsid w:val="001E7389"/>
    <w:rsid w:val="00271010"/>
    <w:rsid w:val="002D4F1E"/>
    <w:rsid w:val="002D52FC"/>
    <w:rsid w:val="002E3ECE"/>
    <w:rsid w:val="002F3B54"/>
    <w:rsid w:val="00314D32"/>
    <w:rsid w:val="00334BD0"/>
    <w:rsid w:val="0034224C"/>
    <w:rsid w:val="00342639"/>
    <w:rsid w:val="003453F7"/>
    <w:rsid w:val="00354496"/>
    <w:rsid w:val="003630ED"/>
    <w:rsid w:val="00367026"/>
    <w:rsid w:val="00367776"/>
    <w:rsid w:val="003A435F"/>
    <w:rsid w:val="003E2876"/>
    <w:rsid w:val="003F6587"/>
    <w:rsid w:val="00430D53"/>
    <w:rsid w:val="00437AF3"/>
    <w:rsid w:val="00450007"/>
    <w:rsid w:val="0045630D"/>
    <w:rsid w:val="00457DD3"/>
    <w:rsid w:val="00473D36"/>
    <w:rsid w:val="00482B64"/>
    <w:rsid w:val="00487263"/>
    <w:rsid w:val="004A3BD7"/>
    <w:rsid w:val="004B3289"/>
    <w:rsid w:val="004B7351"/>
    <w:rsid w:val="00514FE0"/>
    <w:rsid w:val="00523B79"/>
    <w:rsid w:val="00556D69"/>
    <w:rsid w:val="005703B7"/>
    <w:rsid w:val="005A4E47"/>
    <w:rsid w:val="005A54C9"/>
    <w:rsid w:val="005D2065"/>
    <w:rsid w:val="005D4432"/>
    <w:rsid w:val="0062475C"/>
    <w:rsid w:val="00637AFB"/>
    <w:rsid w:val="00645E05"/>
    <w:rsid w:val="006527C6"/>
    <w:rsid w:val="00657789"/>
    <w:rsid w:val="00671ADF"/>
    <w:rsid w:val="00675257"/>
    <w:rsid w:val="00680264"/>
    <w:rsid w:val="006B0B52"/>
    <w:rsid w:val="006F06F9"/>
    <w:rsid w:val="0075334E"/>
    <w:rsid w:val="007678A6"/>
    <w:rsid w:val="007A73F1"/>
    <w:rsid w:val="007B1154"/>
    <w:rsid w:val="007C559F"/>
    <w:rsid w:val="007E2C16"/>
    <w:rsid w:val="007E31CB"/>
    <w:rsid w:val="007E3B3E"/>
    <w:rsid w:val="007F4E03"/>
    <w:rsid w:val="0081797A"/>
    <w:rsid w:val="0084446A"/>
    <w:rsid w:val="00844FBF"/>
    <w:rsid w:val="008817F1"/>
    <w:rsid w:val="00881F77"/>
    <w:rsid w:val="008A4C93"/>
    <w:rsid w:val="008C3900"/>
    <w:rsid w:val="008E3FE7"/>
    <w:rsid w:val="009054B7"/>
    <w:rsid w:val="00906F18"/>
    <w:rsid w:val="0095051C"/>
    <w:rsid w:val="00951791"/>
    <w:rsid w:val="00975170"/>
    <w:rsid w:val="009B4375"/>
    <w:rsid w:val="009D1DB1"/>
    <w:rsid w:val="009D4199"/>
    <w:rsid w:val="009E1A27"/>
    <w:rsid w:val="009E3827"/>
    <w:rsid w:val="009F336B"/>
    <w:rsid w:val="00A03CF0"/>
    <w:rsid w:val="00A342ED"/>
    <w:rsid w:val="00A4110D"/>
    <w:rsid w:val="00A439ED"/>
    <w:rsid w:val="00A55067"/>
    <w:rsid w:val="00A734A5"/>
    <w:rsid w:val="00A76996"/>
    <w:rsid w:val="00A90E0F"/>
    <w:rsid w:val="00A94D8B"/>
    <w:rsid w:val="00AA5742"/>
    <w:rsid w:val="00AC1380"/>
    <w:rsid w:val="00AC45A8"/>
    <w:rsid w:val="00AD7035"/>
    <w:rsid w:val="00AF1106"/>
    <w:rsid w:val="00B3608C"/>
    <w:rsid w:val="00BA7368"/>
    <w:rsid w:val="00C02E61"/>
    <w:rsid w:val="00C115FC"/>
    <w:rsid w:val="00C45A81"/>
    <w:rsid w:val="00C541A2"/>
    <w:rsid w:val="00C70C5C"/>
    <w:rsid w:val="00C71591"/>
    <w:rsid w:val="00CA7AE4"/>
    <w:rsid w:val="00CB02C4"/>
    <w:rsid w:val="00CB3026"/>
    <w:rsid w:val="00CB708C"/>
    <w:rsid w:val="00CC1F79"/>
    <w:rsid w:val="00CD37F4"/>
    <w:rsid w:val="00CE67EA"/>
    <w:rsid w:val="00D01990"/>
    <w:rsid w:val="00D57822"/>
    <w:rsid w:val="00D669F8"/>
    <w:rsid w:val="00D82C18"/>
    <w:rsid w:val="00DE397B"/>
    <w:rsid w:val="00E13BE7"/>
    <w:rsid w:val="00E243AE"/>
    <w:rsid w:val="00E31F52"/>
    <w:rsid w:val="00E7344B"/>
    <w:rsid w:val="00E95703"/>
    <w:rsid w:val="00EA162F"/>
    <w:rsid w:val="00EB21C2"/>
    <w:rsid w:val="00EC7406"/>
    <w:rsid w:val="00F1574D"/>
    <w:rsid w:val="00F504D6"/>
    <w:rsid w:val="00F62A15"/>
    <w:rsid w:val="00F955B5"/>
    <w:rsid w:val="00FA5D5D"/>
    <w:rsid w:val="00FB24E8"/>
    <w:rsid w:val="00FB6DE5"/>
    <w:rsid w:val="00FE45CA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30"/>
  <w15:docId w15:val="{F20326E9-F316-4B3A-9582-EFEC2E12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0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E0F"/>
  </w:style>
  <w:style w:type="paragraph" w:styleId="Footer">
    <w:name w:val="footer"/>
    <w:basedOn w:val="Normal"/>
    <w:link w:val="FooterChar"/>
    <w:uiPriority w:val="99"/>
    <w:unhideWhenUsed/>
    <w:rsid w:val="00A90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0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6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8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CEAUSU Diana</cp:lastModifiedBy>
  <cp:revision>31</cp:revision>
  <dcterms:created xsi:type="dcterms:W3CDTF">2020-10-14T07:03:00Z</dcterms:created>
  <dcterms:modified xsi:type="dcterms:W3CDTF">2021-05-10T08:22:00Z</dcterms:modified>
</cp:coreProperties>
</file>