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673E4" w14:textId="598CEBD7" w:rsidR="00FF0B89" w:rsidRPr="00111E16" w:rsidRDefault="000D5688" w:rsidP="0023010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ESTUDO DE CASO SOBRE CIBERCRIME</w:t>
      </w:r>
      <w:r w:rsidR="00675CC1">
        <w:rPr>
          <w:rFonts w:ascii="Times New Roman" w:hAnsi="Times New Roman"/>
          <w:b/>
        </w:rPr>
        <w:t xml:space="preserve"> </w:t>
      </w:r>
    </w:p>
    <w:p w14:paraId="70DC5E5D" w14:textId="77777777" w:rsidR="00111E16" w:rsidRPr="00A86670" w:rsidRDefault="00111E16" w:rsidP="00111E1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</w:rPr>
        <w:t>Matéria de facto:</w:t>
      </w:r>
    </w:p>
    <w:p w14:paraId="511D0F8B" w14:textId="77777777" w:rsidR="00111E16" w:rsidRPr="00111E16" w:rsidRDefault="00111E16" w:rsidP="00111E16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/>
          <w:b/>
          <w:i/>
        </w:rPr>
        <w:t>Enquadramento:</w:t>
      </w:r>
    </w:p>
    <w:p w14:paraId="62EA27C7" w14:textId="0BB9DCEC" w:rsidR="00111E16" w:rsidRDefault="00111E16" w:rsidP="00111E1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O Estado de Gondor é um país em desenvolvimento na Ásia e vizinho de Rohan.</w:t>
      </w:r>
      <w:r w:rsidR="002C567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Gondor é membro da OMC, da ONU e da Commonwealth.</w:t>
      </w:r>
      <w:r w:rsidR="002C567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Gondor tem sido tradicionalmente o centro de uma indústria bancária e financeira próspera na região e a nível internacional.</w:t>
      </w:r>
      <w:r w:rsidR="002C567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Em resultado do novo cabo submarino de fibra ótica (ligações que a Gondor fornece a países vizinhos como Rohan), Gondor tem uma largura de banda de Internet crescente.</w:t>
      </w:r>
      <w:r w:rsidR="002C567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Esta situação conduziu a inovações em Gondor, como a banca via Internet e os pagamentos eletrónicos, utilizando tanto computadores como ligações à Internet 3G de alta velocidade através de dispositivos móveis para clientes domésticos e titulares de contas estrangeiros.</w:t>
      </w:r>
      <w:r w:rsidR="002C567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Um dos maiores bancos de Gondor, o Gondor National Bank (“GNB”), ligou-se à GonTel, o fornecedor de serviços Cellco/telemóvel em Gondor para disponibilizar pagamentos móveis utilizando IP.</w:t>
      </w:r>
      <w:r w:rsidR="002C5672">
        <w:rPr>
          <w:rFonts w:ascii="Times New Roman" w:hAnsi="Times New Roman"/>
        </w:rPr>
        <w:t xml:space="preserve"> </w:t>
      </w:r>
    </w:p>
    <w:p w14:paraId="4C04E6CB" w14:textId="77777777" w:rsidR="00111E16" w:rsidRPr="00111E16" w:rsidRDefault="00111E16" w:rsidP="00111E1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/>
          <w:b/>
          <w:i/>
        </w:rPr>
        <w:t>O caso:</w:t>
      </w:r>
    </w:p>
    <w:p w14:paraId="7316C9FE" w14:textId="2F4678F3" w:rsidR="00111E16" w:rsidRPr="00111E16" w:rsidRDefault="00111E16" w:rsidP="00111E1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O GNB e a GonTel descobriram recentemente a existência de e-mails de </w:t>
      </w:r>
      <w:r>
        <w:rPr>
          <w:rFonts w:ascii="Times New Roman" w:hAnsi="Times New Roman"/>
          <w:i/>
          <w:iCs/>
        </w:rPr>
        <w:t>phishing</w:t>
      </w:r>
      <w:r>
        <w:rPr>
          <w:rFonts w:ascii="Times New Roman" w:hAnsi="Times New Roman"/>
        </w:rPr>
        <w:t xml:space="preserve"> a partir de sites </w:t>
      </w:r>
      <w:r>
        <w:rPr>
          <w:rFonts w:ascii="Times New Roman" w:hAnsi="Times New Roman"/>
          <w:i/>
          <w:iCs/>
        </w:rPr>
        <w:t>spoofed</w:t>
      </w:r>
      <w:r>
        <w:rPr>
          <w:rFonts w:ascii="Times New Roman" w:hAnsi="Times New Roman"/>
        </w:rPr>
        <w:t xml:space="preserve"> que pretendem passar por e-mails do GNB ou da GonTel com as suas marcas e logótipos.</w:t>
      </w:r>
      <w:r w:rsidR="002C567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Estes e-mails informam os destinatários de que a sua conta foi reinicializada por razões de segurança, devendo, a fim de manter o acesso às suas contas, clicar nas ligações fornecidas no e-mail para as autenticar.</w:t>
      </w:r>
      <w:r w:rsidR="002C567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As ligações parecem ser endereços autênticos do site do GNB e/ou da GonTel (nomes de domínio), mas reencaminham os destinatários para um site diferente ou para um nome de domínio semelhante (</w:t>
      </w:r>
      <w:r>
        <w:rPr>
          <w:rFonts w:ascii="Times New Roman" w:hAnsi="Times New Roman"/>
          <w:i/>
          <w:iCs/>
        </w:rPr>
        <w:t>typosquatted</w:t>
      </w:r>
      <w:r>
        <w:rPr>
          <w:rFonts w:ascii="Times New Roman" w:hAnsi="Times New Roman"/>
        </w:rPr>
        <w:t xml:space="preserve"> – sequestro de URL) ao do nome de domínio do GNB e/ou da GonTel ou para um site ocultado no segundo ou terceiro nível de um nome de domínio diferente.</w:t>
      </w:r>
      <w:r w:rsidR="002C567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Os sites têm o mesmo aspeto dos do GNB e/ou da GonTel.</w:t>
      </w:r>
      <w:r w:rsidR="002C567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Quando acedem a esses sites, os destinatários são convidados a introduzir os seus dados de conta e outras informações pessoais identificáveis (incluindo números de conta, ID de cliente, palavras-passe e outra informação de segurança), que são depois utilizados para aceder ilegalmente às suas contas e retirar fundos.</w:t>
      </w:r>
      <w:r w:rsidR="002C5672">
        <w:rPr>
          <w:rFonts w:ascii="Times New Roman" w:hAnsi="Times New Roman"/>
        </w:rPr>
        <w:t xml:space="preserve"> </w:t>
      </w:r>
    </w:p>
    <w:p w14:paraId="4C5003B8" w14:textId="305A7DA9" w:rsidR="00111E16" w:rsidRPr="00111E16" w:rsidRDefault="00111E16" w:rsidP="00111E1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A investigação inicial conduz os indícios do IP a Rohan e parece que os remetentes estão a utilizar um fluxo rápido para facilitar ataques de </w:t>
      </w:r>
      <w:r>
        <w:rPr>
          <w:rFonts w:ascii="Times New Roman" w:hAnsi="Times New Roman"/>
          <w:i/>
          <w:iCs/>
        </w:rPr>
        <w:t>phishing</w:t>
      </w:r>
      <w:r>
        <w:rPr>
          <w:rFonts w:ascii="Times New Roman" w:hAnsi="Times New Roman"/>
        </w:rPr>
        <w:t xml:space="preserve"> e ocultar as origens dos nomes de domínio, bem como os endereços de e-mail do remetente.</w:t>
      </w:r>
      <w:r w:rsidR="002C567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Suspeita-se que o governo de Rohan possa estar por trás destes ataques de cibercrime.</w:t>
      </w:r>
      <w:r w:rsidR="002C567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As autoridades policiais de Rohan recusaram-se a cooperar em resposta a pedidos de assistência jurídica mútua invocando soberania e segurança.</w:t>
      </w:r>
      <w:r w:rsidR="002C567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No entanto, a única forma de determinar a origem efetiva dos e-mails é solicitar assistência aos fornecedores de serviços de Internet de Rohan e às empresas de registo dos nomes de domínio em causa.</w:t>
      </w:r>
    </w:p>
    <w:p w14:paraId="34AB79CB" w14:textId="108ACC9E" w:rsidR="00111E16" w:rsidRPr="00111E16" w:rsidRDefault="00111E16" w:rsidP="00111E1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As investigações e discussões com outras autoridades policiais e reguladoras estrangeiras sugerem que esses e-mails são enviados por criminosos sofisticados, que podem ser intervenientes estatais ou membros de uma organização de crime organizado.</w:t>
      </w:r>
      <w:r w:rsidR="002C567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Por vezes, os produtos desse tipo de crime são utilizados para facilitar as transmissões ilegais de moeda estrangeira e realizar transferências transfronteiras, ajudando assim as operações de branqueamento de capitais e outros crimes graves.</w:t>
      </w:r>
    </w:p>
    <w:p w14:paraId="316C3351" w14:textId="77777777" w:rsidR="00111E16" w:rsidRPr="00111E16" w:rsidRDefault="00111E16" w:rsidP="00111E1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Gondor não dispõe de legislação em matéria de cibercriminalidade que preveja infrações informáticas ou poderes processuais específicos e, para realizar a investigação, recorre ao seu código penal no tocante a infrações tradicionais em matéria de fraude e criminalidade financeira.</w:t>
      </w:r>
    </w:p>
    <w:p w14:paraId="1EF98AB6" w14:textId="475B86C9" w:rsidR="00111E16" w:rsidRPr="00111E16" w:rsidRDefault="00111E16" w:rsidP="00111E1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Gondor tem um regulador de telecomunicações independente que não responde perante o governo, mas a governação e a política da Internet estão excluídas da sua alçada.</w:t>
      </w:r>
      <w:r w:rsidR="002C567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 Ministério da Política da Internet trata </w:t>
      </w:r>
      <w:r>
        <w:rPr>
          <w:rFonts w:ascii="Times New Roman" w:hAnsi="Times New Roman"/>
        </w:rPr>
        <w:lastRenderedPageBreak/>
        <w:t>das questões relacionadas com a Internet.</w:t>
      </w:r>
      <w:r w:rsidR="002C567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 Ministério da Justiça ocupa-se da aplicação da lei.</w:t>
      </w:r>
      <w:r w:rsidR="002C567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 regulamentação bancária é tratada exclusivamente pelo, forte e independente, Banco Nacional de Gondor.</w:t>
      </w:r>
    </w:p>
    <w:p w14:paraId="664B2B40" w14:textId="77777777" w:rsidR="00111E16" w:rsidRPr="00111E16" w:rsidRDefault="00111E16" w:rsidP="00111E1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É consultor jurídico/político do governo de Gondor em matéria de governação e cibercrime na Internet.</w:t>
      </w:r>
    </w:p>
    <w:p w14:paraId="6CC72CDC" w14:textId="6E416DA2" w:rsidR="00111E16" w:rsidRPr="00111E16" w:rsidRDefault="00111E16" w:rsidP="00111E1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O governo de Gondor solicitou-lhe que sugerisse opções para abordar este problema.</w:t>
      </w:r>
      <w:r w:rsidR="002C567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Algumas das opções que o governo solicitou que considerasse:</w:t>
      </w:r>
    </w:p>
    <w:p w14:paraId="3010E25E" w14:textId="77777777" w:rsidR="00111E16" w:rsidRPr="00111E16" w:rsidRDefault="00111E16" w:rsidP="00111E16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Bloquear nomes de domínio e/ou endereços IP</w:t>
      </w:r>
    </w:p>
    <w:p w14:paraId="12C9001A" w14:textId="77777777" w:rsidR="00111E16" w:rsidRPr="00111E16" w:rsidRDefault="00111E16" w:rsidP="00111E16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Bloquear todos os e-mails e sites de Rohan</w:t>
      </w:r>
    </w:p>
    <w:p w14:paraId="441591A7" w14:textId="77777777" w:rsidR="00111E16" w:rsidRPr="00111E16" w:rsidRDefault="00111E16" w:rsidP="00111E16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Contactar diretamente os fornecedores de serviços de Internet de Rohan para obter assistência</w:t>
      </w:r>
    </w:p>
    <w:p w14:paraId="0A8193F4" w14:textId="77777777" w:rsidR="00111E16" w:rsidRPr="00111E16" w:rsidRDefault="00111E16" w:rsidP="00111E16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Contactar a Interpol</w:t>
      </w:r>
    </w:p>
    <w:p w14:paraId="2815BAC7" w14:textId="77777777" w:rsidR="00111E16" w:rsidRPr="00111E16" w:rsidRDefault="00111E16" w:rsidP="00111E16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Recusar a ligação de Rohan ao cabo submarino de Gondor</w:t>
      </w:r>
    </w:p>
    <w:p w14:paraId="64AB348A" w14:textId="77777777" w:rsidR="00111E16" w:rsidRPr="00111E16" w:rsidRDefault="00111E16" w:rsidP="00111E16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Declarar os ataques de ciberterrorismo como uma agressão por Rohan e apresentar a questão à ONU</w:t>
      </w:r>
    </w:p>
    <w:p w14:paraId="170B8094" w14:textId="77777777" w:rsidR="00111E16" w:rsidRPr="00111E16" w:rsidRDefault="00111E16" w:rsidP="00111E16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Aplicar uma vigilância e controlo em tempo real não só dos dados de tráfego, mas também dos dados de conteúdo</w:t>
      </w:r>
    </w:p>
    <w:p w14:paraId="2F507D91" w14:textId="77777777" w:rsidR="000D5688" w:rsidRDefault="000D5688" w:rsidP="00111E16">
      <w:pPr>
        <w:jc w:val="both"/>
        <w:rPr>
          <w:rFonts w:ascii="Times New Roman" w:hAnsi="Times New Roman" w:cs="Times New Roman"/>
          <w:b/>
        </w:rPr>
      </w:pPr>
    </w:p>
    <w:p w14:paraId="62C18B4E" w14:textId="2D5CC3C0" w:rsidR="00111E16" w:rsidRPr="00284848" w:rsidRDefault="00111E16" w:rsidP="0028484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Questões a debater no contexto das melhores práticas</w:t>
      </w:r>
    </w:p>
    <w:p w14:paraId="360A1DEE" w14:textId="77777777" w:rsidR="00111E16" w:rsidRPr="00111E16" w:rsidRDefault="00111E16" w:rsidP="00111E1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/>
          <w:b/>
          <w:i/>
        </w:rPr>
        <w:t>Cibercrime</w:t>
      </w:r>
    </w:p>
    <w:p w14:paraId="3D2B1132" w14:textId="77777777" w:rsidR="00111E16" w:rsidRPr="00111E16" w:rsidRDefault="00111E16" w:rsidP="00111E16">
      <w:pPr>
        <w:pStyle w:val="Paragraphedeliste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Que tipos de infrações foram cometidas neste caso?</w:t>
      </w:r>
    </w:p>
    <w:p w14:paraId="383F8DEC" w14:textId="77777777" w:rsidR="00111E16" w:rsidRPr="00111E16" w:rsidRDefault="00111E16" w:rsidP="00111E16">
      <w:pPr>
        <w:pStyle w:val="Paragraphedeliste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Seria útil se a definição das infrações em Gondor, Rohan e outros países cooperantes fosse semelhante e criminalizada?</w:t>
      </w:r>
    </w:p>
    <w:p w14:paraId="793459A4" w14:textId="77777777" w:rsidR="00111E16" w:rsidRPr="00111E16" w:rsidRDefault="00111E16" w:rsidP="00111E16">
      <w:pPr>
        <w:pStyle w:val="Paragraphedeliste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 que modelos pode Gondor recorrer para a introdução de legislação em matéria de cibercriminalidade?</w:t>
      </w:r>
    </w:p>
    <w:p w14:paraId="685FF0A5" w14:textId="77777777" w:rsidR="00111E16" w:rsidRPr="00111E16" w:rsidRDefault="00111E16" w:rsidP="00111E16">
      <w:pPr>
        <w:pStyle w:val="Paragraphedeliste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Como pode Gondor garantir que Rohan é obrigado, por força do direito internacional, a responder aos seus pedidos de cooperação?</w:t>
      </w:r>
    </w:p>
    <w:p w14:paraId="439FE4C0" w14:textId="77777777" w:rsidR="00111E16" w:rsidRPr="00111E16" w:rsidRDefault="00111E16" w:rsidP="00111E16">
      <w:pPr>
        <w:pStyle w:val="Paragraphedeliste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Deve Gondor poder contactar diretamente e receber informações e assistência dos fornecedores de serviços de Internet de Rohan?</w:t>
      </w:r>
    </w:p>
    <w:p w14:paraId="6817686C" w14:textId="77777777" w:rsidR="00111E16" w:rsidRPr="00111E16" w:rsidRDefault="00111E16" w:rsidP="00111E16">
      <w:pPr>
        <w:pStyle w:val="Paragraphedeliste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Pode Gondor solicitar assistência à Interpol?</w:t>
      </w:r>
    </w:p>
    <w:p w14:paraId="650DECCC" w14:textId="77777777" w:rsidR="00111E16" w:rsidRPr="00111E16" w:rsidRDefault="00111E16" w:rsidP="00111E16">
      <w:pPr>
        <w:pStyle w:val="Paragraphedeliste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Que papel pode as Nações Unidas desempenhar no que diz respeito ao cibercrime associado ao branqueamento de capitais?</w:t>
      </w:r>
    </w:p>
    <w:p w14:paraId="1EFAC757" w14:textId="77777777" w:rsidR="004D6A52" w:rsidRDefault="000E5001">
      <w:pPr>
        <w:pStyle w:val="Paragraphedeliste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Que ajuda pode a UIT prestar?</w:t>
      </w:r>
    </w:p>
    <w:p w14:paraId="15BE13FF" w14:textId="77777777" w:rsidR="00FA1BC6" w:rsidRDefault="00111E16" w:rsidP="00111E16">
      <w:pPr>
        <w:pStyle w:val="Paragraphedeliste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Que soluções pode a Commonwealth fornecer, em especial neste caso? </w:t>
      </w:r>
    </w:p>
    <w:p w14:paraId="21A98DD2" w14:textId="77777777" w:rsidR="004823D6" w:rsidRPr="004823D6" w:rsidRDefault="004823D6" w:rsidP="004823D6">
      <w:pPr>
        <w:pStyle w:val="Paragraphedeliste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12"/>
        </w:rPr>
      </w:pPr>
    </w:p>
    <w:p w14:paraId="2D0E2DEE" w14:textId="15B6D22C" w:rsidR="004823D6" w:rsidRDefault="004823D6" w:rsidP="004823D6">
      <w:pPr>
        <w:pStyle w:val="Paragraphedeliste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Que soluções pode a Convenção de Budapeste fornecer, em especial neste caso? </w:t>
      </w:r>
    </w:p>
    <w:p w14:paraId="5011D04F" w14:textId="77777777" w:rsidR="004823D6" w:rsidRPr="000D5688" w:rsidRDefault="004823D6" w:rsidP="004823D6">
      <w:pPr>
        <w:pStyle w:val="Paragraphedeliste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sectPr w:rsidR="004823D6" w:rsidRPr="000D5688" w:rsidSect="002949E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EBFC" w14:textId="77777777" w:rsidR="00855F3F" w:rsidRDefault="00855F3F" w:rsidP="00DE4068">
      <w:pPr>
        <w:spacing w:after="0" w:line="240" w:lineRule="auto"/>
      </w:pPr>
      <w:r>
        <w:separator/>
      </w:r>
    </w:p>
  </w:endnote>
  <w:endnote w:type="continuationSeparator" w:id="0">
    <w:p w14:paraId="71B8E3BE" w14:textId="77777777" w:rsidR="00855F3F" w:rsidRDefault="00855F3F" w:rsidP="00DE4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7417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0C6DBD77" w14:textId="77777777" w:rsidR="000A2F64" w:rsidRDefault="000A2F64">
            <w:pPr>
              <w:pStyle w:val="Pieddepage"/>
              <w:jc w:val="center"/>
            </w:pPr>
            <w:r>
              <w:t xml:space="preserve">Página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4823D6">
              <w:rPr>
                <w:b/>
              </w:rPr>
              <w:t>1</w:t>
            </w:r>
            <w:r>
              <w:rPr>
                <w:b/>
                <w:sz w:val="24"/>
              </w:rPr>
              <w:fldChar w:fldCharType="end"/>
            </w:r>
            <w:r>
              <w:t xml:space="preserve"> de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4823D6">
              <w:rPr>
                <w:b/>
              </w:rPr>
              <w:t>2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14:paraId="690A2F9B" w14:textId="77777777" w:rsidR="000A2F64" w:rsidRDefault="000A2F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C7DD1" w14:textId="77777777" w:rsidR="00855F3F" w:rsidRDefault="00855F3F" w:rsidP="00DE4068">
      <w:pPr>
        <w:spacing w:after="0" w:line="240" w:lineRule="auto"/>
      </w:pPr>
      <w:r>
        <w:separator/>
      </w:r>
    </w:p>
  </w:footnote>
  <w:footnote w:type="continuationSeparator" w:id="0">
    <w:p w14:paraId="165DDB03" w14:textId="77777777" w:rsidR="00855F3F" w:rsidRDefault="00855F3F" w:rsidP="00DE4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B1BD3"/>
    <w:multiLevelType w:val="hybridMultilevel"/>
    <w:tmpl w:val="27122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E29D0"/>
    <w:multiLevelType w:val="hybridMultilevel"/>
    <w:tmpl w:val="94249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21AE6"/>
    <w:multiLevelType w:val="hybridMultilevel"/>
    <w:tmpl w:val="4FFA9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A4DA7"/>
    <w:multiLevelType w:val="hybridMultilevel"/>
    <w:tmpl w:val="A6466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559C6"/>
    <w:multiLevelType w:val="hybridMultilevel"/>
    <w:tmpl w:val="DBF29220"/>
    <w:lvl w:ilvl="0" w:tplc="90BC1B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92FAE"/>
    <w:multiLevelType w:val="hybridMultilevel"/>
    <w:tmpl w:val="9F503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E75D4"/>
    <w:multiLevelType w:val="hybridMultilevel"/>
    <w:tmpl w:val="54E07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E2A02"/>
    <w:multiLevelType w:val="hybridMultilevel"/>
    <w:tmpl w:val="A66CF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02555"/>
    <w:multiLevelType w:val="hybridMultilevel"/>
    <w:tmpl w:val="C24C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C0"/>
    <w:rsid w:val="00001667"/>
    <w:rsid w:val="00017E8C"/>
    <w:rsid w:val="00053109"/>
    <w:rsid w:val="00053B7D"/>
    <w:rsid w:val="000A2F64"/>
    <w:rsid w:val="000B5C13"/>
    <w:rsid w:val="000D5688"/>
    <w:rsid w:val="000E5001"/>
    <w:rsid w:val="000F5FD3"/>
    <w:rsid w:val="000F6836"/>
    <w:rsid w:val="00110A80"/>
    <w:rsid w:val="00111E16"/>
    <w:rsid w:val="00112695"/>
    <w:rsid w:val="001264FF"/>
    <w:rsid w:val="001440E8"/>
    <w:rsid w:val="0016310A"/>
    <w:rsid w:val="001A4703"/>
    <w:rsid w:val="001A593B"/>
    <w:rsid w:val="001B616A"/>
    <w:rsid w:val="001D2960"/>
    <w:rsid w:val="001E7B64"/>
    <w:rsid w:val="00203A03"/>
    <w:rsid w:val="00206388"/>
    <w:rsid w:val="00206C58"/>
    <w:rsid w:val="0022514C"/>
    <w:rsid w:val="0023010F"/>
    <w:rsid w:val="00240E9D"/>
    <w:rsid w:val="00244C3B"/>
    <w:rsid w:val="00276D80"/>
    <w:rsid w:val="00284848"/>
    <w:rsid w:val="002949EC"/>
    <w:rsid w:val="002C5672"/>
    <w:rsid w:val="002F672A"/>
    <w:rsid w:val="00332609"/>
    <w:rsid w:val="0039170A"/>
    <w:rsid w:val="003A235B"/>
    <w:rsid w:val="003A49A8"/>
    <w:rsid w:val="003A6CD4"/>
    <w:rsid w:val="003B130D"/>
    <w:rsid w:val="003B7CD3"/>
    <w:rsid w:val="003C1470"/>
    <w:rsid w:val="004069F9"/>
    <w:rsid w:val="00411B65"/>
    <w:rsid w:val="00415A3C"/>
    <w:rsid w:val="0043352D"/>
    <w:rsid w:val="00443627"/>
    <w:rsid w:val="00451B0D"/>
    <w:rsid w:val="00460120"/>
    <w:rsid w:val="00475A0F"/>
    <w:rsid w:val="004823D6"/>
    <w:rsid w:val="004A4325"/>
    <w:rsid w:val="004A4F97"/>
    <w:rsid w:val="004C3725"/>
    <w:rsid w:val="004D6A52"/>
    <w:rsid w:val="005211D4"/>
    <w:rsid w:val="00530F00"/>
    <w:rsid w:val="00544A08"/>
    <w:rsid w:val="005530F0"/>
    <w:rsid w:val="00572512"/>
    <w:rsid w:val="00574F54"/>
    <w:rsid w:val="0057780F"/>
    <w:rsid w:val="005B611C"/>
    <w:rsid w:val="005E2C59"/>
    <w:rsid w:val="005E70F8"/>
    <w:rsid w:val="005F155A"/>
    <w:rsid w:val="005F7E7E"/>
    <w:rsid w:val="00617BD7"/>
    <w:rsid w:val="00643729"/>
    <w:rsid w:val="00650112"/>
    <w:rsid w:val="00675CC1"/>
    <w:rsid w:val="006A44A9"/>
    <w:rsid w:val="00705767"/>
    <w:rsid w:val="0072579E"/>
    <w:rsid w:val="007324BE"/>
    <w:rsid w:val="00755895"/>
    <w:rsid w:val="007611B7"/>
    <w:rsid w:val="00782984"/>
    <w:rsid w:val="007D67C0"/>
    <w:rsid w:val="007D7A6D"/>
    <w:rsid w:val="007F6EEB"/>
    <w:rsid w:val="00802BE9"/>
    <w:rsid w:val="008404ED"/>
    <w:rsid w:val="00855F3F"/>
    <w:rsid w:val="008676A4"/>
    <w:rsid w:val="0089461A"/>
    <w:rsid w:val="008E5F0C"/>
    <w:rsid w:val="009972A6"/>
    <w:rsid w:val="00A050E5"/>
    <w:rsid w:val="00A25ED8"/>
    <w:rsid w:val="00A52F6D"/>
    <w:rsid w:val="00A6700A"/>
    <w:rsid w:val="00A82FC0"/>
    <w:rsid w:val="00A86670"/>
    <w:rsid w:val="00AA7E20"/>
    <w:rsid w:val="00AB7339"/>
    <w:rsid w:val="00AC25A9"/>
    <w:rsid w:val="00AC5849"/>
    <w:rsid w:val="00AD01F6"/>
    <w:rsid w:val="00B24138"/>
    <w:rsid w:val="00B3139C"/>
    <w:rsid w:val="00B67CE4"/>
    <w:rsid w:val="00BC40A9"/>
    <w:rsid w:val="00BC7090"/>
    <w:rsid w:val="00C61F84"/>
    <w:rsid w:val="00C64450"/>
    <w:rsid w:val="00C67DD2"/>
    <w:rsid w:val="00CD6F5E"/>
    <w:rsid w:val="00D05B12"/>
    <w:rsid w:val="00D14973"/>
    <w:rsid w:val="00D54C2D"/>
    <w:rsid w:val="00D9165E"/>
    <w:rsid w:val="00DC5A65"/>
    <w:rsid w:val="00DD108B"/>
    <w:rsid w:val="00DE4068"/>
    <w:rsid w:val="00DE4B50"/>
    <w:rsid w:val="00DF1D4D"/>
    <w:rsid w:val="00E04E26"/>
    <w:rsid w:val="00E25747"/>
    <w:rsid w:val="00E27EC0"/>
    <w:rsid w:val="00E3495E"/>
    <w:rsid w:val="00E5162A"/>
    <w:rsid w:val="00E52043"/>
    <w:rsid w:val="00E52612"/>
    <w:rsid w:val="00E55625"/>
    <w:rsid w:val="00E824AD"/>
    <w:rsid w:val="00E8781E"/>
    <w:rsid w:val="00F12D7E"/>
    <w:rsid w:val="00F13C54"/>
    <w:rsid w:val="00F205D9"/>
    <w:rsid w:val="00F8277E"/>
    <w:rsid w:val="00FA1BC6"/>
    <w:rsid w:val="00FA5DA0"/>
    <w:rsid w:val="00FE576B"/>
    <w:rsid w:val="00FE792F"/>
    <w:rsid w:val="00FF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FBCE77"/>
  <w15:docId w15:val="{4A4BB2AF-F61A-4F27-B774-44B1160B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0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4068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DE406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E4068"/>
    <w:rPr>
      <w:sz w:val="20"/>
      <w:szCs w:val="20"/>
      <w:lang w:val="pt-PT"/>
    </w:rPr>
  </w:style>
  <w:style w:type="character" w:styleId="Appelnotedebasdep">
    <w:name w:val="footnote reference"/>
    <w:basedOn w:val="Policepardfaut"/>
    <w:uiPriority w:val="99"/>
    <w:semiHidden/>
    <w:unhideWhenUsed/>
    <w:rsid w:val="00DE4068"/>
    <w:rPr>
      <w:vertAlign w:val="superscript"/>
    </w:rPr>
  </w:style>
  <w:style w:type="character" w:styleId="Lienhypertexte">
    <w:name w:val="Hyperlink"/>
    <w:basedOn w:val="Policepardfaut"/>
    <w:uiPriority w:val="99"/>
    <w:semiHidden/>
    <w:unhideWhenUsed/>
    <w:rsid w:val="00DE4068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F1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1D4D"/>
    <w:rPr>
      <w:lang w:val="pt-PT"/>
    </w:rPr>
  </w:style>
  <w:style w:type="paragraph" w:styleId="Pieddepage">
    <w:name w:val="footer"/>
    <w:basedOn w:val="Normal"/>
    <w:link w:val="PieddepageCar"/>
    <w:uiPriority w:val="99"/>
    <w:unhideWhenUsed/>
    <w:rsid w:val="00DF1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1D4D"/>
    <w:rPr>
      <w:lang w:val="pt-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2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235B"/>
    <w:rPr>
      <w:rFonts w:ascii="Tahoma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FDAFB-32A7-42F9-B3B6-EE539476B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Zahid Jamil</dc:creator>
  <cp:lastModifiedBy>RIVIERE Sylvie</cp:lastModifiedBy>
  <cp:revision>2</cp:revision>
  <cp:lastPrinted>2012-05-22T13:54:00Z</cp:lastPrinted>
  <dcterms:created xsi:type="dcterms:W3CDTF">2022-05-10T13:52:00Z</dcterms:created>
  <dcterms:modified xsi:type="dcterms:W3CDTF">2022-05-10T13:52:00Z</dcterms:modified>
</cp:coreProperties>
</file>