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953FD" w:rsidRPr="004D24E6" w:rsidP="004D24E6" w14:paraId="191C7E80" w14:textId="7DF33F6D">
      <w:pPr>
        <w:bidi w:val="0"/>
        <w:rPr>
          <w:rFonts w:ascii="Verdana" w:hAnsi="Verdana"/>
          <w:b/>
          <w:bCs/>
          <w:lang w:val="en-GB"/>
        </w:rPr>
      </w:pPr>
      <w:r w:rsidRPr="004D24E6">
        <w:rPr>
          <w:rFonts w:ascii="Verdana" w:hAnsi="Verdana"/>
          <w:b/>
          <w:bCs/>
          <w:rtl w:val="0"/>
          <w:lang w:val="tr"/>
        </w:rPr>
        <w:t>6 nolu kılavuz notu – Öğrenme Hedefleri</w:t>
      </w:r>
    </w:p>
    <w:p w:rsidR="002953FD" w:rsidRPr="00F87324" w:rsidP="004D24E6" w14:paraId="4DA4CDA8" w14:textId="77777777">
      <w:pPr>
        <w:jc w:val="center"/>
        <w:rPr>
          <w:rFonts w:ascii="Verdana" w:hAnsi="Verdana"/>
          <w:lang w:val="en-GB"/>
        </w:rPr>
      </w:pPr>
    </w:p>
    <w:p w:rsidR="008C5BF0" w:rsidRPr="00F87324" w:rsidP="008C5BF0" w14:paraId="4ACBF4A3" w14:textId="4869F3CF">
      <w:pPr>
        <w:bidi w:val="0"/>
        <w:jc w:val="both"/>
        <w:rPr>
          <w:rFonts w:ascii="Verdana" w:hAnsi="Verdana"/>
          <w:lang w:val="en-GB"/>
        </w:rPr>
      </w:pPr>
      <w:r w:rsidRPr="00F87324">
        <w:rPr>
          <w:rFonts w:ascii="Verdana" w:hAnsi="Verdana"/>
          <w:rtl w:val="0"/>
          <w:lang w:val="tr"/>
        </w:rPr>
        <w:t xml:space="preserve">Her eğitim programı, Öğrenme Hedefleri (ÖH'ler) kullanılarak oluşturulmalıdır. </w:t>
      </w:r>
    </w:p>
    <w:p w:rsidR="00F87324" w:rsidRPr="00F87324" w:rsidP="008C5BF0" w14:paraId="14998AE0" w14:textId="77777777">
      <w:pPr>
        <w:jc w:val="both"/>
        <w:rPr>
          <w:rFonts w:ascii="Verdana" w:hAnsi="Verdana"/>
          <w:lang w:val="en-GB"/>
        </w:rPr>
      </w:pPr>
    </w:p>
    <w:p w:rsidR="008C5BF0" w:rsidRPr="00F87324" w:rsidP="008C5BF0" w14:paraId="0D7500B6" w14:textId="1996FEBC">
      <w:pPr>
        <w:bidi w:val="0"/>
        <w:jc w:val="both"/>
        <w:rPr>
          <w:rFonts w:ascii="Verdana" w:hAnsi="Verdana"/>
          <w:lang w:val="en-GB"/>
        </w:rPr>
      </w:pPr>
      <w:r w:rsidRPr="00F87324">
        <w:rPr>
          <w:rFonts w:ascii="Verdana" w:hAnsi="Verdana"/>
          <w:rtl w:val="0"/>
          <w:lang w:val="tr"/>
        </w:rPr>
        <w:t>Spesifik ÖH'lerin belirlenmesi ve sonrasında yazılması, başarılı bir eğitim için temel bir ön koşuldur. Kısacası, ÖH'lerin oluşturulması, eğiticinin, hedeflere ve ÖH'lere ulaşılmasına yönelik ilerlemeyi destekleyen tutarlı bir eğitim etkinliği veya kursu oluşturmak için eğitim tasarımının farklı unsurlarının nasıl bir araya geldiğini çözmesine yardımcı olacaktır.</w:t>
      </w:r>
    </w:p>
    <w:p w:rsidR="00F87324" w:rsidRPr="00F87324" w:rsidP="008C5BF0" w14:paraId="50B72E50" w14:textId="77777777">
      <w:pPr>
        <w:jc w:val="both"/>
        <w:rPr>
          <w:rFonts w:ascii="Verdana" w:hAnsi="Verdana"/>
          <w:lang w:val="en-GB"/>
        </w:rPr>
      </w:pPr>
    </w:p>
    <w:p w:rsidR="008C5BF0" w:rsidRPr="00F87324" w:rsidP="008C5BF0" w14:paraId="5CA90462" w14:textId="77777777">
      <w:pPr>
        <w:bidi w:val="0"/>
        <w:jc w:val="both"/>
        <w:rPr>
          <w:rFonts w:ascii="Verdana" w:hAnsi="Verdana"/>
          <w:lang w:val="en-GB"/>
        </w:rPr>
      </w:pPr>
      <w:r w:rsidRPr="00F87324">
        <w:rPr>
          <w:rFonts w:ascii="Verdana" w:hAnsi="Verdana"/>
          <w:rtl w:val="0"/>
          <w:lang w:val="tr"/>
        </w:rPr>
        <w:t>Net ÖH'ler formüle etmenin planlama aşamasında önemli olmasının birkaç nedeni vardır.</w:t>
      </w:r>
    </w:p>
    <w:p w:rsidR="008C5BF0" w:rsidRPr="00F87324" w:rsidP="008C5BF0" w14:paraId="77AA2F5A" w14:textId="77777777">
      <w:pPr>
        <w:jc w:val="both"/>
        <w:rPr>
          <w:rFonts w:ascii="Verdana" w:hAnsi="Verdana"/>
          <w:lang w:val="en-GB"/>
        </w:rPr>
      </w:pPr>
    </w:p>
    <w:p w:rsidR="008C5BF0" w:rsidRPr="00F87324" w:rsidP="008C5BF0" w14:paraId="5B19FB44" w14:textId="137481F4">
      <w:pPr>
        <w:pStyle w:val="ListParagraph"/>
        <w:numPr>
          <w:ilvl w:val="0"/>
          <w:numId w:val="1"/>
        </w:numPr>
        <w:bidi w:val="0"/>
        <w:jc w:val="both"/>
        <w:rPr>
          <w:rFonts w:ascii="Verdana" w:hAnsi="Verdana"/>
          <w:lang w:val="en-GB"/>
        </w:rPr>
      </w:pPr>
      <w:r w:rsidRPr="00F87324">
        <w:rPr>
          <w:rFonts w:ascii="Verdana" w:hAnsi="Verdana"/>
          <w:rtl w:val="0"/>
          <w:lang w:val="tr"/>
        </w:rPr>
        <w:t>ÖH'ler, bir öğrenenin kursun/pro</w:t>
      </w:r>
      <w:r w:rsidRPr="00F87324">
        <w:rPr>
          <w:rFonts w:ascii="Cambria Math" w:hAnsi="Cambria Math" w:cs="Cambria Math"/>
          <w:rtl w:val="0"/>
          <w:lang w:val="tr"/>
        </w:rPr>
        <w:t>-</w:t>
      </w:r>
      <w:r w:rsidRPr="00F87324">
        <w:rPr>
          <w:rFonts w:ascii="Verdana" w:hAnsi="Verdana"/>
          <w:rtl w:val="0"/>
          <w:lang w:val="tr"/>
        </w:rPr>
        <w:t xml:space="preserve">gramın sonunda neyi gösterebilmesi gerektiğini tanımlar. ÖH'ler, amaçları </w:t>
      </w:r>
      <w:r w:rsidRPr="00F87324">
        <w:rPr>
          <w:rFonts w:ascii="Verdana" w:hAnsi="Verdana"/>
          <w:rtl w:val="0"/>
          <w:lang w:val="tr"/>
        </w:rPr>
        <w:t>hem eğitici hem de öğrenen için netleştirir. Herkes eğitimin odak noktasının ne olduğunu anlar ve böylece olası yanlış anlamaların önüne geçilir.</w:t>
      </w:r>
    </w:p>
    <w:p w:rsidR="008C5BF0" w:rsidRPr="00F87324" w:rsidP="008C5BF0" w14:paraId="0EC94D7A" w14:textId="3204ED41">
      <w:pPr>
        <w:pStyle w:val="ListParagraph"/>
        <w:numPr>
          <w:ilvl w:val="0"/>
          <w:numId w:val="1"/>
        </w:numPr>
        <w:bidi w:val="0"/>
        <w:jc w:val="both"/>
        <w:rPr>
          <w:rFonts w:ascii="Verdana" w:hAnsi="Verdana"/>
          <w:lang w:val="en-GB"/>
        </w:rPr>
      </w:pPr>
      <w:r w:rsidRPr="00F87324">
        <w:rPr>
          <w:rFonts w:ascii="Verdana" w:hAnsi="Verdana"/>
          <w:rtl w:val="0"/>
          <w:lang w:val="tr"/>
        </w:rPr>
        <w:t>ÖH'leri oluşturmak, eğitimin öğrenenin ihtiyaçlarıyla ilgili ve mevcut zaman içinde sunulabilir olmasına yardım eder. ÖH'ler olmadan, eğitim odaklanmamış veya çok fazla iddialı olabilir.</w:t>
      </w:r>
    </w:p>
    <w:p w:rsidR="008C5BF0" w:rsidRPr="00F87324" w:rsidP="008C5BF0" w14:paraId="5BADF8C4" w14:textId="11E591A1">
      <w:pPr>
        <w:pStyle w:val="ListParagraph"/>
        <w:numPr>
          <w:ilvl w:val="0"/>
          <w:numId w:val="1"/>
        </w:numPr>
        <w:bidi w:val="0"/>
        <w:jc w:val="both"/>
        <w:rPr>
          <w:rFonts w:ascii="Verdana" w:hAnsi="Verdana"/>
          <w:lang w:val="en-GB"/>
        </w:rPr>
      </w:pPr>
      <w:r w:rsidRPr="00F87324">
        <w:rPr>
          <w:rFonts w:ascii="Verdana" w:hAnsi="Verdana"/>
          <w:rtl w:val="0"/>
          <w:lang w:val="tr"/>
        </w:rPr>
        <w:t>ÖH'lerin ölçme ve değerlendirmesi yapılacağı için eğitici ve öğrenen, eğitimin ne ölçüde başarılı olduğunu görme fırsatına sahiptir. Ayrıca öğrenenler, organizasyon veya kamu hizmeti içinde yetkinlik temelli eğitim kavramını güçlendiren eğitime karşı 'Ben yapabilirim' tutumu kazanırlar.</w:t>
      </w:r>
    </w:p>
    <w:p w:rsidR="008C5BF0" w:rsidRPr="00F87324" w:rsidP="008C5BF0" w14:paraId="008DFD2F" w14:textId="77777777">
      <w:pPr>
        <w:jc w:val="both"/>
        <w:rPr>
          <w:rFonts w:ascii="Verdana" w:hAnsi="Verdana"/>
          <w:lang w:val="en-GB"/>
        </w:rPr>
      </w:pPr>
    </w:p>
    <w:p w:rsidR="008C5BF0" w:rsidRPr="00F87324" w:rsidP="008C5BF0" w14:paraId="239AF044" w14:textId="77777777">
      <w:pPr>
        <w:bidi w:val="0"/>
        <w:jc w:val="both"/>
        <w:rPr>
          <w:rFonts w:ascii="Verdana" w:hAnsi="Verdana"/>
          <w:lang w:val="en-GB"/>
        </w:rPr>
      </w:pPr>
      <w:r w:rsidRPr="00F87324">
        <w:rPr>
          <w:rFonts w:ascii="Verdana" w:hAnsi="Verdana"/>
          <w:rtl w:val="0"/>
          <w:lang w:val="tr"/>
        </w:rPr>
        <w:t xml:space="preserve">ÖH'ler her zaman ulaşılabilir olmalıdır, ancak öğrenenlerin farkındalık düzeyi ve eğitim deneyimiyle beraber artan bilgi ve beceri düzeyleri gerektirmektedirler. </w:t>
      </w:r>
    </w:p>
    <w:p w:rsidR="008C5BF0" w:rsidRPr="00F87324" w:rsidP="008C5BF0" w14:paraId="45851BA9" w14:textId="77777777">
      <w:pPr>
        <w:jc w:val="both"/>
        <w:rPr>
          <w:rFonts w:ascii="Verdana" w:hAnsi="Verdana"/>
          <w:lang w:val="en-GB"/>
        </w:rPr>
      </w:pPr>
    </w:p>
    <w:p w:rsidR="008C5BF0" w:rsidRPr="00F87324" w:rsidP="008C5BF0" w14:paraId="33EC4940" w14:textId="0A003886">
      <w:pPr>
        <w:bidi w:val="0"/>
        <w:jc w:val="both"/>
        <w:rPr>
          <w:rFonts w:ascii="Verdana" w:hAnsi="Verdana"/>
          <w:lang w:val="en-GB"/>
        </w:rPr>
      </w:pPr>
      <w:r w:rsidRPr="00F87324">
        <w:rPr>
          <w:rFonts w:ascii="Verdana" w:hAnsi="Verdana"/>
          <w:rtl w:val="0"/>
          <w:lang w:val="tr"/>
        </w:rPr>
        <w:t>ÖH'lerin belirlenmesi, eğitim tekniği seçiminde eğiticilere yardımcı olur.</w:t>
      </w:r>
    </w:p>
    <w:p w:rsidR="008C5BF0" w:rsidRPr="00F87324" w:rsidP="008C5BF0" w14:paraId="216F82D8" w14:textId="77777777">
      <w:pPr>
        <w:jc w:val="both"/>
        <w:rPr>
          <w:rFonts w:ascii="Verdana" w:hAnsi="Verdana"/>
          <w:lang w:val="en-GB"/>
        </w:rPr>
      </w:pPr>
    </w:p>
    <w:p w:rsidR="008C5BF0" w:rsidRPr="00F87324" w:rsidP="008C5BF0" w14:paraId="412139E1" w14:textId="07DF02A8">
      <w:pPr>
        <w:bidi w:val="0"/>
        <w:jc w:val="both"/>
        <w:rPr>
          <w:rFonts w:ascii="Verdana" w:hAnsi="Verdana"/>
          <w:lang w:val="en-GB"/>
        </w:rPr>
      </w:pPr>
      <w:r w:rsidRPr="00F87324">
        <w:rPr>
          <w:rFonts w:ascii="Verdana" w:hAnsi="Verdana"/>
          <w:rtl w:val="0"/>
          <w:lang w:val="tr"/>
        </w:rPr>
        <w:t>Bütün bunlar dilde kesinlik ihtiyacını ortaya koyar. İfadenin netliği, sonraki aşamalarda düşüncenin netliğini sağlamaya yardımcı olacaktır. Yine de bu çok zor bir iş değildir. Yararlı iki ipucu vardır: birincisi, ÖH'lerin 'SMART' olması gerektiği; ve ikincisi, ölçülebilirliği öneren bir dilde yazılmaları gerektiğidir.</w:t>
      </w:r>
    </w:p>
    <w:p w:rsidR="008C5BF0" w:rsidRPr="00F87324" w:rsidP="008C5BF0" w14:paraId="1175AA9F" w14:textId="6A1F4317">
      <w:pPr>
        <w:jc w:val="both"/>
        <w:rPr>
          <w:rFonts w:ascii="Verdana" w:hAnsi="Verdana"/>
          <w:lang w:val="en-GB"/>
        </w:rPr>
      </w:pPr>
    </w:p>
    <w:p w:rsidR="008C5BF0" w:rsidRPr="00F87324" w:rsidP="008C5BF0" w14:paraId="2F4D9427" w14:textId="684E2988">
      <w:pPr>
        <w:bidi w:val="0"/>
        <w:jc w:val="both"/>
        <w:rPr>
          <w:rFonts w:ascii="Verdana" w:hAnsi="Verdana"/>
          <w:lang w:val="en-GB"/>
        </w:rPr>
      </w:pPr>
      <w:r w:rsidRPr="00F87324">
        <w:rPr>
          <w:rFonts w:ascii="Verdana" w:hAnsi="Verdana"/>
          <w:rtl w:val="0"/>
          <w:lang w:val="tr"/>
        </w:rPr>
        <w:t xml:space="preserve">İngilizce dilinde iyi öğrenme ÖH'lerinin </w:t>
      </w:r>
      <w:r w:rsidRPr="00F87324">
        <w:rPr>
          <w:rFonts w:ascii="Verdana" w:hAnsi="Verdana"/>
          <w:b/>
          <w:rtl w:val="0"/>
          <w:lang w:val="tr"/>
        </w:rPr>
        <w:t>SMART</w:t>
      </w:r>
      <w:r w:rsidRPr="00F87324">
        <w:rPr>
          <w:rFonts w:ascii="Verdana" w:hAnsi="Verdana"/>
          <w:rtl w:val="0"/>
          <w:lang w:val="tr"/>
        </w:rPr>
        <w:t xml:space="preserve"> olması gerektiği söylenir:</w:t>
      </w:r>
    </w:p>
    <w:p w:rsidR="008C5BF0" w:rsidRPr="00F87324" w:rsidP="008C5BF0" w14:paraId="60D4E30D" w14:textId="77777777">
      <w:pPr>
        <w:jc w:val="both"/>
        <w:rPr>
          <w:rFonts w:ascii="Verdana" w:hAnsi="Verdana"/>
          <w:b/>
          <w:lang w:val="en-GB"/>
        </w:rPr>
      </w:pPr>
    </w:p>
    <w:p w:rsidR="008C5BF0" w:rsidRPr="00F87324" w:rsidP="008C5BF0" w14:paraId="0B93D1DF" w14:textId="15AB975C">
      <w:pPr>
        <w:bidi w:val="0"/>
        <w:jc w:val="both"/>
        <w:rPr>
          <w:rFonts w:ascii="Verdana" w:hAnsi="Verdana"/>
          <w:lang w:val="en-GB"/>
        </w:rPr>
      </w:pPr>
      <w:r w:rsidRPr="00F87324">
        <w:rPr>
          <w:rFonts w:ascii="Verdana" w:hAnsi="Verdana"/>
          <w:b/>
          <w:rtl w:val="0"/>
          <w:lang w:val="tr"/>
        </w:rPr>
        <w:t>Spesifik</w:t>
      </w:r>
      <w:r w:rsidRPr="00F87324">
        <w:rPr>
          <w:rFonts w:ascii="Verdana" w:hAnsi="Verdana"/>
          <w:rtl w:val="0"/>
          <w:lang w:val="tr"/>
        </w:rPr>
        <w:t xml:space="preserve"> (Specific)</w:t>
      </w:r>
      <w:r w:rsidRPr="00F87324">
        <w:rPr>
          <w:rFonts w:ascii="Cambria Math" w:hAnsi="Cambria Math" w:cs="Cambria Math"/>
          <w:rtl w:val="0"/>
          <w:lang w:val="tr"/>
        </w:rPr>
        <w:t xml:space="preserve"> -</w:t>
      </w:r>
      <w:r w:rsidRPr="00F87324">
        <w:rPr>
          <w:rFonts w:ascii="Verdana" w:hAnsi="Verdana"/>
          <w:rtl w:val="0"/>
          <w:lang w:val="tr"/>
        </w:rPr>
        <w:t xml:space="preserve"> Tüm hedefler somut, açık ve net olmalıdır. Spesifik yani belirli bir şeyi hedeflemelidir – örneğin bir konunun net bir şekilde anlaşılması.</w:t>
      </w:r>
    </w:p>
    <w:p w:rsidR="008C5BF0" w:rsidRPr="00F87324" w:rsidP="008C5BF0" w14:paraId="40E70498" w14:textId="468E8C22">
      <w:pPr>
        <w:bidi w:val="0"/>
        <w:jc w:val="both"/>
        <w:rPr>
          <w:rFonts w:ascii="Verdana" w:hAnsi="Verdana"/>
          <w:lang w:val="en-GB"/>
        </w:rPr>
      </w:pPr>
      <w:r w:rsidRPr="00F87324">
        <w:rPr>
          <w:rFonts w:ascii="Verdana" w:hAnsi="Verdana"/>
          <w:b/>
          <w:rtl w:val="0"/>
          <w:lang w:val="tr"/>
        </w:rPr>
        <w:t>Ölçülebilir</w:t>
      </w:r>
      <w:r w:rsidRPr="00F87324">
        <w:rPr>
          <w:rFonts w:ascii="Verdana" w:hAnsi="Verdana"/>
          <w:rtl w:val="0"/>
          <w:lang w:val="tr"/>
        </w:rPr>
        <w:t xml:space="preserve"> (Measurable) </w:t>
      </w:r>
      <w:r w:rsidRPr="00F87324">
        <w:rPr>
          <w:rFonts w:ascii="Cambria Math" w:hAnsi="Cambria Math" w:cs="Cambria Math"/>
          <w:rtl w:val="0"/>
          <w:lang w:val="tr"/>
        </w:rPr>
        <w:t>-</w:t>
      </w:r>
      <w:r w:rsidRPr="00F87324">
        <w:rPr>
          <w:rFonts w:ascii="Verdana" w:hAnsi="Verdana"/>
          <w:rtl w:val="0"/>
          <w:lang w:val="tr"/>
        </w:rPr>
        <w:t xml:space="preserve"> Hedef, öğrenenin ilerlemesinin nasıl ölçülebileceğine dair bazı göstergeler içerecektir.</w:t>
      </w:r>
    </w:p>
    <w:p w:rsidR="008C5BF0" w:rsidRPr="00F87324" w:rsidP="008C5BF0" w14:paraId="79A817FA" w14:textId="319941CD">
      <w:pPr>
        <w:bidi w:val="0"/>
        <w:jc w:val="both"/>
        <w:rPr>
          <w:rFonts w:ascii="Verdana" w:hAnsi="Verdana"/>
          <w:lang w:val="en-GB"/>
        </w:rPr>
      </w:pPr>
      <w:r w:rsidRPr="00F87324">
        <w:rPr>
          <w:rFonts w:ascii="Verdana" w:hAnsi="Verdana"/>
          <w:b/>
          <w:rtl w:val="0"/>
          <w:lang w:val="tr"/>
        </w:rPr>
        <w:t>Ulaşılabilir</w:t>
      </w:r>
      <w:r w:rsidRPr="00F87324">
        <w:rPr>
          <w:rFonts w:ascii="Verdana" w:hAnsi="Verdana"/>
          <w:rtl w:val="0"/>
          <w:lang w:val="tr"/>
        </w:rPr>
        <w:t xml:space="preserve"> (Attainable) </w:t>
      </w:r>
      <w:r w:rsidRPr="00F87324">
        <w:rPr>
          <w:rFonts w:ascii="Cambria Math" w:hAnsi="Cambria Math" w:cs="Cambria Math"/>
          <w:rtl w:val="0"/>
          <w:lang w:val="tr"/>
        </w:rPr>
        <w:t>-</w:t>
      </w:r>
      <w:r w:rsidRPr="00F87324">
        <w:rPr>
          <w:rFonts w:ascii="Verdana" w:hAnsi="Verdana"/>
          <w:rtl w:val="0"/>
          <w:lang w:val="tr"/>
        </w:rPr>
        <w:t xml:space="preserve"> Hedef, onu üstlenenler için uygun olmalıdır.</w:t>
      </w:r>
    </w:p>
    <w:p w:rsidR="008C5BF0" w:rsidRPr="00F87324" w:rsidP="008C5BF0" w14:paraId="40ACCD14" w14:textId="0676E6E9">
      <w:pPr>
        <w:bidi w:val="0"/>
        <w:jc w:val="both"/>
        <w:rPr>
          <w:rFonts w:ascii="Verdana" w:hAnsi="Verdana"/>
          <w:lang w:val="en-GB"/>
        </w:rPr>
      </w:pPr>
      <w:r w:rsidRPr="00F87324">
        <w:rPr>
          <w:rFonts w:ascii="Verdana" w:hAnsi="Verdana"/>
          <w:b/>
          <w:rtl w:val="0"/>
          <w:lang w:val="tr"/>
        </w:rPr>
        <w:t>İlgili</w:t>
      </w:r>
      <w:r w:rsidRPr="00F87324">
        <w:rPr>
          <w:rFonts w:ascii="Verdana" w:hAnsi="Verdana"/>
          <w:rtl w:val="0"/>
          <w:lang w:val="tr"/>
        </w:rPr>
        <w:t xml:space="preserve"> (Relevant) </w:t>
      </w:r>
      <w:r w:rsidRPr="00F87324">
        <w:rPr>
          <w:rFonts w:ascii="Cambria Math" w:hAnsi="Cambria Math" w:cs="Cambria Math"/>
          <w:rtl w:val="0"/>
          <w:lang w:val="tr"/>
        </w:rPr>
        <w:t>-</w:t>
      </w:r>
      <w:r w:rsidRPr="00F87324">
        <w:rPr>
          <w:rFonts w:ascii="Verdana" w:hAnsi="Verdana"/>
          <w:rtl w:val="0"/>
          <w:lang w:val="tr"/>
        </w:rPr>
        <w:t xml:space="preserve">Hedef, kursu </w:t>
      </w:r>
      <w:r w:rsidRPr="00F87324">
        <w:rPr>
          <w:rFonts w:ascii="Verdana" w:hAnsi="Verdana"/>
          <w:rtl w:val="0"/>
          <w:lang w:val="tr"/>
        </w:rPr>
        <w:t>alanlarla ilgili olmalıdır.</w:t>
      </w:r>
    </w:p>
    <w:p w:rsidR="008C5BF0" w:rsidRPr="00F87324" w:rsidP="008C5BF0" w14:paraId="40444A76" w14:textId="039E200E">
      <w:pPr>
        <w:bidi w:val="0"/>
        <w:jc w:val="both"/>
        <w:rPr>
          <w:rFonts w:ascii="Verdana" w:hAnsi="Verdana"/>
          <w:lang w:val="en-GB"/>
        </w:rPr>
      </w:pPr>
      <w:r w:rsidRPr="00F87324">
        <w:rPr>
          <w:rFonts w:ascii="Verdana" w:hAnsi="Verdana"/>
          <w:b/>
          <w:rtl w:val="0"/>
          <w:lang w:val="tr"/>
        </w:rPr>
        <w:t>Belirli zamanlı (Time specific)</w:t>
      </w:r>
      <w:r w:rsidRPr="00F87324">
        <w:rPr>
          <w:rFonts w:ascii="Verdana" w:hAnsi="Verdana"/>
          <w:rtl w:val="0"/>
          <w:lang w:val="tr"/>
        </w:rPr>
        <w:t>. Hedef, görevin tamamlanması gereken zaman parametrelerini belirtmelidir.</w:t>
      </w:r>
    </w:p>
    <w:p w:rsidR="008C5BF0" w:rsidRPr="00F87324" w:rsidP="008C5BF0" w14:paraId="16E974AD" w14:textId="77777777">
      <w:pPr>
        <w:bidi w:val="0"/>
        <w:jc w:val="both"/>
        <w:rPr>
          <w:rFonts w:ascii="Verdana" w:hAnsi="Verdana"/>
          <w:lang w:val="en-GB"/>
        </w:rPr>
      </w:pPr>
      <w:r w:rsidRPr="00F87324">
        <w:rPr>
          <w:rFonts w:ascii="Verdana" w:hAnsi="Verdana"/>
          <w:rtl w:val="0"/>
          <w:lang w:val="tr"/>
        </w:rPr>
        <w:t>İkinci olarak, her ÖH'ye ulaşmadaki başarı düzeyini ölçmek mümkün olmalıdır. Bunu yapmak göründüğünden çok daha kolaydır.</w:t>
      </w:r>
    </w:p>
    <w:p w:rsidR="008C5BF0" w:rsidP="008C5BF0" w14:paraId="152DC23A" w14:textId="0132E123">
      <w:pPr>
        <w:bidi w:val="0"/>
        <w:jc w:val="both"/>
        <w:rPr>
          <w:rFonts w:ascii="Verdana" w:hAnsi="Verdana"/>
          <w:lang w:val="en-GB"/>
        </w:rPr>
      </w:pPr>
      <w:r w:rsidRPr="00F87324">
        <w:rPr>
          <w:rFonts w:ascii="Verdana" w:hAnsi="Verdana"/>
          <w:rtl w:val="0"/>
          <w:lang w:val="tr"/>
        </w:rPr>
        <w:t xml:space="preserve">ÖH'ler, bir kök (bir zaman sınırlaması veren) ve ardından </w:t>
      </w:r>
      <w:r w:rsidRPr="00F87324">
        <w:rPr>
          <w:rFonts w:ascii="Verdana" w:hAnsi="Verdana"/>
          <w:b/>
          <w:rtl w:val="0"/>
          <w:lang w:val="tr"/>
        </w:rPr>
        <w:t>aktif bir fiil</w:t>
      </w:r>
      <w:r w:rsidRPr="00F87324">
        <w:rPr>
          <w:rFonts w:ascii="Verdana" w:hAnsi="Verdana"/>
          <w:rtl w:val="0"/>
          <w:lang w:val="tr"/>
        </w:rPr>
        <w:t xml:space="preserve"> (öğrenenlerin neyi gösterebileceklerini ana hatlarıyla belirten) + </w:t>
      </w:r>
      <w:r w:rsidRPr="00F87324">
        <w:rPr>
          <w:rFonts w:ascii="Verdana" w:hAnsi="Verdana"/>
          <w:b/>
          <w:rtl w:val="0"/>
          <w:lang w:val="tr"/>
        </w:rPr>
        <w:t>nesne</w:t>
      </w:r>
      <w:r w:rsidRPr="00F87324">
        <w:rPr>
          <w:rFonts w:ascii="Verdana" w:hAnsi="Verdana"/>
          <w:rtl w:val="0"/>
          <w:lang w:val="tr"/>
        </w:rPr>
        <w:t xml:space="preserve"> (öğrenilecek olan) + </w:t>
      </w:r>
      <w:r w:rsidRPr="00F87324">
        <w:rPr>
          <w:rFonts w:ascii="Verdana" w:hAnsi="Verdana"/>
          <w:b/>
          <w:rtl w:val="0"/>
          <w:lang w:val="tr"/>
        </w:rPr>
        <w:t>niteleyici bir ifade</w:t>
      </w:r>
      <w:r w:rsidRPr="00F87324">
        <w:rPr>
          <w:rFonts w:ascii="Verdana" w:hAnsi="Verdana"/>
          <w:rtl w:val="0"/>
          <w:lang w:val="tr"/>
        </w:rPr>
        <w:t xml:space="preserve"> (bağlam ve beklenen ustalık derecesini sağlayan) ile belirtilir. Örneğin: </w:t>
      </w:r>
    </w:p>
    <w:p w:rsidR="0019564F" w:rsidP="008C5BF0" w14:paraId="0FD29222" w14:textId="5783FA06">
      <w:pPr>
        <w:bidi w:val="0"/>
        <w:jc w:val="both"/>
        <w:rPr>
          <w:rFonts w:ascii="Verdana" w:hAnsi="Verdana"/>
          <w:lang w:val="en-GB"/>
        </w:rPr>
      </w:pPr>
      <w:r>
        <w:rPr>
          <w:rFonts w:ascii="Verdana" w:hAnsi="Verdana"/>
          <w:rtl w:val="0"/>
          <w:lang w:val="tr"/>
        </w:rPr>
        <w:t>Bu oturumun sonunda şunları yapabileceksiniz:</w:t>
      </w:r>
    </w:p>
    <w:p w:rsidR="0019564F" w:rsidRPr="004F504F" w:rsidP="0019564F" w14:paraId="1A07CDED" w14:textId="79E2847D">
      <w:pPr>
        <w:numPr>
          <w:ilvl w:val="0"/>
          <w:numId w:val="3"/>
        </w:numPr>
        <w:bidi w:val="0"/>
        <w:jc w:val="both"/>
        <w:rPr>
          <w:rFonts w:ascii="Verdana" w:hAnsi="Verdana"/>
          <w:lang w:val="en-GB"/>
        </w:rPr>
      </w:pPr>
      <w:r w:rsidRPr="004F504F">
        <w:rPr>
          <w:rFonts w:ascii="Verdana" w:hAnsi="Verdana"/>
          <w:rtl w:val="0"/>
          <w:lang w:val="tr"/>
        </w:rPr>
        <w:t xml:space="preserve">Budapeşte Sözleşmesi tarafından sağlanan usule ilişkin yetkileri sıralamak (bilgi) </w:t>
      </w:r>
    </w:p>
    <w:p w:rsidR="0019564F" w:rsidRPr="0019564F" w:rsidP="0019564F" w14:paraId="28057CF9" w14:textId="3AF28470">
      <w:pPr>
        <w:numPr>
          <w:ilvl w:val="0"/>
          <w:numId w:val="3"/>
        </w:numPr>
        <w:bidi w:val="0"/>
        <w:jc w:val="both"/>
        <w:rPr>
          <w:rFonts w:ascii="Verdana" w:hAnsi="Verdana"/>
          <w:lang w:val="en-GB"/>
        </w:rPr>
      </w:pPr>
      <w:r w:rsidRPr="0019564F">
        <w:rPr>
          <w:rFonts w:ascii="Verdana" w:hAnsi="Verdana"/>
          <w:rtl w:val="0"/>
          <w:lang w:val="tr"/>
        </w:rPr>
        <w:t>Dijital ve geleneksel kanıtlar arasındaki farkları kıyaslamak ve karşılaştırmak (bilgi, beceri)</w:t>
      </w:r>
    </w:p>
    <w:p w:rsidR="0019564F" w:rsidRPr="0019564F" w:rsidP="0019564F" w14:paraId="761C620E" w14:textId="0204E087">
      <w:pPr>
        <w:numPr>
          <w:ilvl w:val="0"/>
          <w:numId w:val="3"/>
        </w:numPr>
        <w:bidi w:val="0"/>
        <w:jc w:val="both"/>
        <w:rPr>
          <w:rFonts w:ascii="Verdana" w:hAnsi="Verdana"/>
          <w:lang w:val="en-GB"/>
        </w:rPr>
      </w:pPr>
      <w:r w:rsidRPr="0019564F">
        <w:rPr>
          <w:rFonts w:ascii="Verdana" w:hAnsi="Verdana"/>
          <w:rtl w:val="0"/>
          <w:lang w:val="tr"/>
        </w:rPr>
        <w:t>Dijital kanıt için standartları ve iyi uygulamaları eleştirel olarak değerlendirmek (beceri)</w:t>
      </w:r>
    </w:p>
    <w:p w:rsidR="0019564F" w:rsidRPr="004F504F" w:rsidP="008C5BF0" w14:paraId="1A0C63F7" w14:textId="6EC64ACA">
      <w:pPr>
        <w:jc w:val="both"/>
        <w:rPr>
          <w:rFonts w:ascii="Verdana" w:hAnsi="Verdana"/>
          <w:lang w:val="en-GB"/>
        </w:rPr>
      </w:pPr>
    </w:p>
    <w:p w:rsidR="004F504F" w:rsidRPr="004F504F" w:rsidP="008C5BF0" w14:paraId="48300BDD" w14:textId="5245DBD5">
      <w:pPr>
        <w:bidi w:val="0"/>
        <w:jc w:val="both"/>
        <w:rPr>
          <w:rFonts w:ascii="Verdana" w:hAnsi="Verdana"/>
          <w:lang w:val="en-GB"/>
        </w:rPr>
      </w:pPr>
      <w:r w:rsidRPr="004F504F">
        <w:rPr>
          <w:rFonts w:ascii="Verdana" w:hAnsi="Verdana"/>
          <w:rtl w:val="0"/>
          <w:lang w:val="tr"/>
        </w:rPr>
        <w:t>Bu kursun sonunda katılımcılar şunları yapacaktır:</w:t>
      </w:r>
    </w:p>
    <w:p w:rsidR="004F504F" w:rsidRPr="004F504F" w:rsidP="004F504F" w14:paraId="308E602E" w14:textId="42F5F356">
      <w:pPr>
        <w:pStyle w:val="ListParagraph"/>
        <w:numPr>
          <w:ilvl w:val="0"/>
          <w:numId w:val="4"/>
        </w:numPr>
        <w:bidi w:val="0"/>
        <w:jc w:val="both"/>
        <w:rPr>
          <w:rFonts w:ascii="Verdana" w:hAnsi="Verdana"/>
          <w:lang w:val="en-GB"/>
        </w:rPr>
      </w:pPr>
      <w:r w:rsidRPr="004F504F">
        <w:rPr>
          <w:rFonts w:ascii="Verdana" w:hAnsi="Verdana"/>
          <w:rtl w:val="0"/>
          <w:lang w:val="tr"/>
        </w:rPr>
        <w:t>Yetişkin eğitimi ve deneyimsel öğrenme ile ilgili temel kuramları edinmek (bilgi)</w:t>
      </w:r>
    </w:p>
    <w:p w:rsidR="004F504F" w:rsidRPr="004F504F" w:rsidP="004F504F" w14:paraId="41195D2F" w14:textId="20BADB50">
      <w:pPr>
        <w:pStyle w:val="ListParagraph"/>
        <w:numPr>
          <w:ilvl w:val="0"/>
          <w:numId w:val="4"/>
        </w:numPr>
        <w:bidi w:val="0"/>
        <w:jc w:val="both"/>
        <w:rPr>
          <w:rFonts w:ascii="Verdana" w:hAnsi="Verdana"/>
          <w:lang w:val="en-GB"/>
        </w:rPr>
      </w:pPr>
      <w:r w:rsidRPr="004F504F">
        <w:rPr>
          <w:rFonts w:ascii="Verdana" w:hAnsi="Verdana"/>
          <w:rtl w:val="0"/>
          <w:lang w:val="tr"/>
        </w:rPr>
        <w:t>Yetişkin profesyonelleri eğitmenin zorluklarını tartışmak (bilgi)</w:t>
      </w:r>
    </w:p>
    <w:p w:rsidR="004F504F" w:rsidRPr="004F504F" w:rsidP="004F504F" w14:paraId="68CFBB85" w14:textId="63550966">
      <w:pPr>
        <w:pStyle w:val="ListParagraph"/>
        <w:numPr>
          <w:ilvl w:val="0"/>
          <w:numId w:val="4"/>
        </w:numPr>
        <w:bidi w:val="0"/>
        <w:jc w:val="both"/>
        <w:rPr>
          <w:rFonts w:ascii="Verdana" w:hAnsi="Verdana"/>
          <w:lang w:val="en-GB"/>
        </w:rPr>
      </w:pPr>
      <w:r w:rsidRPr="004F504F">
        <w:rPr>
          <w:rFonts w:ascii="Verdana" w:hAnsi="Verdana"/>
          <w:rtl w:val="0"/>
          <w:lang w:val="tr"/>
        </w:rPr>
        <w:t>Eğitim esnasında ortaya çıkabilecek farklı dinamikleri tanımak ve ele almak (bilgi, beceri)</w:t>
      </w:r>
    </w:p>
    <w:p w:rsidR="004F504F" w:rsidRPr="004F504F" w:rsidP="004F504F" w14:paraId="05DB07BB" w14:textId="0201ADA2">
      <w:pPr>
        <w:pStyle w:val="ListParagraph"/>
        <w:numPr>
          <w:ilvl w:val="0"/>
          <w:numId w:val="4"/>
        </w:numPr>
        <w:bidi w:val="0"/>
        <w:jc w:val="both"/>
        <w:rPr>
          <w:rFonts w:ascii="Verdana" w:hAnsi="Verdana"/>
          <w:lang w:val="en-GB"/>
        </w:rPr>
      </w:pPr>
      <w:r w:rsidRPr="004F504F">
        <w:rPr>
          <w:rFonts w:ascii="Verdana" w:hAnsi="Verdana"/>
          <w:rtl w:val="0"/>
          <w:lang w:val="tr"/>
        </w:rPr>
        <w:t>Çeşitli eğitim tekniklerinin etkinliğini deneyimlemek ve değerlendirmek (bilgi, beceri)</w:t>
      </w:r>
    </w:p>
    <w:p w:rsidR="004F504F" w:rsidP="000B202C" w14:paraId="6BA7E5DB" w14:textId="3C02A525">
      <w:pPr>
        <w:pStyle w:val="ListParagraph"/>
        <w:numPr>
          <w:ilvl w:val="0"/>
          <w:numId w:val="4"/>
        </w:numPr>
        <w:bidi w:val="0"/>
        <w:jc w:val="both"/>
        <w:rPr>
          <w:rFonts w:ascii="Verdana" w:hAnsi="Verdana"/>
          <w:lang w:val="en-GB"/>
        </w:rPr>
      </w:pPr>
      <w:r w:rsidRPr="004F504F">
        <w:rPr>
          <w:rFonts w:ascii="Verdana" w:hAnsi="Verdana"/>
          <w:rtl w:val="0"/>
          <w:lang w:val="tr"/>
        </w:rPr>
        <w:t>Siber suçlar ve elektronik deliller konusunda eğitim verirken kullanılacak en uygun eğitim tekniklerini belirlemek (beceri)</w:t>
      </w:r>
    </w:p>
    <w:p w:rsidR="00F87324" w:rsidP="000B202C" w14:paraId="76CA26D6" w14:textId="6164EDEA">
      <w:pPr>
        <w:pStyle w:val="ListParagraph"/>
        <w:numPr>
          <w:ilvl w:val="0"/>
          <w:numId w:val="4"/>
        </w:numPr>
        <w:bidi w:val="0"/>
        <w:jc w:val="both"/>
        <w:rPr>
          <w:rFonts w:ascii="Verdana" w:hAnsi="Verdana"/>
          <w:lang w:val="en-GB"/>
        </w:rPr>
      </w:pPr>
      <w:r>
        <w:rPr>
          <w:rFonts w:ascii="Verdana" w:hAnsi="Verdana"/>
          <w:rtl w:val="0"/>
          <w:lang w:val="tr"/>
        </w:rPr>
        <w:t>Bir koruma alanında eğitim verme alıştırması yapmak</w:t>
      </w:r>
    </w:p>
    <w:p w:rsidR="004F504F" w:rsidRPr="004F504F" w:rsidP="004D24E6" w14:paraId="54E3303B" w14:textId="77777777">
      <w:pPr>
        <w:pStyle w:val="ListParagraph"/>
        <w:jc w:val="both"/>
        <w:rPr>
          <w:rFonts w:ascii="Verdana" w:hAnsi="Verdana"/>
          <w:lang w:val="en-GB"/>
        </w:rPr>
      </w:pPr>
    </w:p>
    <w:p w:rsidR="008C5BF0" w:rsidRPr="00F87324" w:rsidP="008C5BF0" w14:paraId="1780F973" w14:textId="77777777">
      <w:pPr>
        <w:bidi w:val="0"/>
        <w:jc w:val="both"/>
        <w:rPr>
          <w:rFonts w:ascii="Verdana" w:hAnsi="Verdana"/>
          <w:lang w:val="en-GB"/>
        </w:rPr>
      </w:pPr>
      <w:r w:rsidRPr="00F87324">
        <w:rPr>
          <w:rFonts w:ascii="Verdana" w:hAnsi="Verdana"/>
          <w:rtl w:val="0"/>
          <w:lang w:val="tr"/>
        </w:rPr>
        <w:t xml:space="preserve">ÖH'lerde anlamak, </w:t>
      </w:r>
      <w:r w:rsidRPr="00F87324">
        <w:rPr>
          <w:rFonts w:ascii="Verdana" w:hAnsi="Verdana"/>
          <w:i/>
          <w:rtl w:val="0"/>
          <w:lang w:val="tr"/>
        </w:rPr>
        <w:t>takdir etmek, aşina olmak</w:t>
      </w:r>
      <w:r w:rsidRPr="00F87324">
        <w:rPr>
          <w:rFonts w:ascii="Verdana" w:hAnsi="Verdana"/>
          <w:rtl w:val="0"/>
          <w:lang w:val="tr"/>
        </w:rPr>
        <w:t xml:space="preserve"> ve </w:t>
      </w:r>
      <w:r w:rsidRPr="00F87324">
        <w:rPr>
          <w:rFonts w:ascii="Verdana" w:hAnsi="Verdana"/>
          <w:i/>
          <w:rtl w:val="0"/>
          <w:lang w:val="tr"/>
        </w:rPr>
        <w:t>bilmek</w:t>
      </w:r>
      <w:r w:rsidRPr="00F87324">
        <w:rPr>
          <w:rFonts w:ascii="Verdana" w:hAnsi="Verdana"/>
          <w:rtl w:val="0"/>
          <w:lang w:val="tr"/>
        </w:rPr>
        <w:t xml:space="preserve"> gibi fiilleri kullanmaktan kaçınmaya çalışın çünkü bu fiiller öğrenenin bir değerlendirmede hangi düzeyde anlama veya bilgi göstermesi gerektiğini açıkça göstermez.</w:t>
      </w:r>
    </w:p>
    <w:p w:rsidR="008C5BF0" w:rsidRPr="00F87324" w:rsidP="008C5BF0" w14:paraId="18520DD0" w14:textId="77777777">
      <w:pPr>
        <w:jc w:val="both"/>
        <w:rPr>
          <w:rFonts w:ascii="Verdana" w:hAnsi="Verdana"/>
          <w:lang w:val="en-GB"/>
        </w:rPr>
      </w:pPr>
    </w:p>
    <w:p w:rsidR="008C5BF0" w:rsidRPr="00F87324" w:rsidP="008C5BF0" w14:paraId="49EE641A" w14:textId="64407840">
      <w:pPr>
        <w:bidi w:val="0"/>
        <w:jc w:val="both"/>
        <w:rPr>
          <w:rFonts w:ascii="Verdana" w:hAnsi="Verdana"/>
          <w:lang w:val="en-GB"/>
        </w:rPr>
      </w:pPr>
      <w:r w:rsidRPr="00F87324">
        <w:rPr>
          <w:rFonts w:ascii="Verdana" w:hAnsi="Verdana"/>
          <w:rtl w:val="0"/>
          <w:lang w:val="tr"/>
        </w:rPr>
        <w:t>Hedefleri ifade etmenin çok farklı yolları olabileceğini anlamak da önemlidir. Ancak hepsi basit bir formül kullanır:</w:t>
      </w:r>
    </w:p>
    <w:p w:rsidR="008C5BF0" w:rsidRPr="00F87324" w:rsidP="008C5BF0" w14:paraId="5983238B" w14:textId="77777777">
      <w:pPr>
        <w:bidi w:val="0"/>
        <w:jc w:val="both"/>
        <w:rPr>
          <w:rFonts w:ascii="Verdana" w:hAnsi="Verdana"/>
          <w:lang w:val="en-GB"/>
        </w:rPr>
      </w:pPr>
      <w:r w:rsidRPr="00F87324">
        <w:rPr>
          <w:rFonts w:ascii="Verdana" w:hAnsi="Verdana"/>
          <w:b/>
          <w:rtl w:val="0"/>
          <w:lang w:val="tr"/>
        </w:rPr>
        <w:t>aktif fiil</w:t>
      </w:r>
      <w:r w:rsidRPr="00F87324">
        <w:rPr>
          <w:rFonts w:ascii="Verdana" w:hAnsi="Verdana"/>
          <w:rtl w:val="0"/>
          <w:lang w:val="tr"/>
        </w:rPr>
        <w:t xml:space="preserve"> (öğrenenlerin neyi gösterebileceğini ana hatlarıyla belirtir)</w:t>
      </w:r>
    </w:p>
    <w:p w:rsidR="008C5BF0" w:rsidRPr="00F87324" w:rsidP="008C5BF0" w14:paraId="16F76D21" w14:textId="77777777">
      <w:pPr>
        <w:bidi w:val="0"/>
        <w:jc w:val="both"/>
        <w:rPr>
          <w:rFonts w:ascii="Verdana" w:hAnsi="Verdana"/>
          <w:b/>
          <w:lang w:val="en-GB"/>
        </w:rPr>
      </w:pPr>
      <w:r w:rsidRPr="00F87324">
        <w:rPr>
          <w:rFonts w:ascii="Verdana" w:hAnsi="Verdana"/>
          <w:rtl w:val="0"/>
          <w:lang w:val="tr"/>
        </w:rPr>
        <w:t xml:space="preserve">+ </w:t>
      </w:r>
      <w:r w:rsidRPr="00F87324">
        <w:rPr>
          <w:rFonts w:ascii="Verdana" w:hAnsi="Verdana"/>
          <w:b/>
          <w:rtl w:val="0"/>
          <w:lang w:val="tr"/>
        </w:rPr>
        <w:t>nesne</w:t>
      </w:r>
      <w:r w:rsidRPr="00F87324">
        <w:rPr>
          <w:rFonts w:ascii="Verdana" w:hAnsi="Verdana"/>
          <w:rtl w:val="0"/>
          <w:lang w:val="tr"/>
        </w:rPr>
        <w:t xml:space="preserve"> (öğrenilecek olan) + </w:t>
      </w:r>
      <w:r w:rsidRPr="00F87324">
        <w:rPr>
          <w:rFonts w:ascii="Verdana" w:hAnsi="Verdana"/>
          <w:b/>
          <w:rtl w:val="0"/>
          <w:lang w:val="tr"/>
        </w:rPr>
        <w:t>niteleyici bir ifade</w:t>
      </w:r>
    </w:p>
    <w:p w:rsidR="008C5BF0" w:rsidRPr="00F87324" w:rsidP="008C5BF0" w14:paraId="2D225877" w14:textId="65574A7F">
      <w:pPr>
        <w:bidi w:val="0"/>
        <w:jc w:val="both"/>
        <w:rPr>
          <w:rFonts w:ascii="Verdana" w:hAnsi="Verdana"/>
          <w:lang w:val="en-GB"/>
        </w:rPr>
      </w:pPr>
      <w:r w:rsidRPr="00F87324">
        <w:rPr>
          <w:rFonts w:ascii="Verdana" w:hAnsi="Verdana"/>
          <w:rtl w:val="0"/>
          <w:lang w:val="tr"/>
        </w:rPr>
        <w:t>Örneğin bazı fiiller diğerlerinden daha zorlayıcı olacaktır. 'Yeniden ifade etmek' ezberleme ve tekrardan biraz daha fazlasını ima eder; 'açıklamak' ise daha büyük bir zihinsel işleme ve kavrama unsuru gerektirir.</w:t>
      </w:r>
    </w:p>
    <w:p w:rsidR="008C5BF0" w:rsidRPr="00F87324" w:rsidP="008C5BF0" w14:paraId="064E2EF6" w14:textId="1878100A">
      <w:pPr>
        <w:jc w:val="both"/>
        <w:rPr>
          <w:rFonts w:ascii="Verdana" w:hAnsi="Verdana"/>
          <w:lang w:val="en-GB"/>
        </w:rPr>
      </w:pPr>
    </w:p>
    <w:p w:rsidR="008C5BF0" w:rsidRPr="00F87324" w:rsidP="008C5BF0" w14:paraId="510C1670" w14:textId="3EAB5089">
      <w:pPr>
        <w:bidi w:val="0"/>
        <w:jc w:val="both"/>
        <w:rPr>
          <w:rFonts w:ascii="Verdana" w:hAnsi="Verdana"/>
          <w:b/>
          <w:bCs/>
          <w:lang w:val="en-GB"/>
        </w:rPr>
      </w:pPr>
      <w:r w:rsidRPr="00F87324">
        <w:rPr>
          <w:rFonts w:ascii="Verdana" w:hAnsi="Verdana"/>
          <w:b/>
          <w:bCs/>
          <w:rtl w:val="0"/>
          <w:lang w:val="tr"/>
        </w:rPr>
        <w:t>ÖH'lerinizi yazarken aşağıdakileri göz önünde bulundurmayı unutmayın</w:t>
      </w:r>
    </w:p>
    <w:p w:rsidR="008C5BF0" w:rsidRPr="00F87324" w:rsidP="008C5BF0" w14:paraId="463FA1BF" w14:textId="77777777">
      <w:pPr>
        <w:pStyle w:val="ListParagraph"/>
        <w:numPr>
          <w:ilvl w:val="0"/>
          <w:numId w:val="2"/>
        </w:numPr>
        <w:bidi w:val="0"/>
        <w:jc w:val="both"/>
        <w:rPr>
          <w:rFonts w:ascii="Verdana" w:hAnsi="Verdana"/>
          <w:lang w:val="en-GB"/>
        </w:rPr>
      </w:pPr>
      <w:r w:rsidRPr="00F87324">
        <w:rPr>
          <w:rFonts w:ascii="Verdana" w:hAnsi="Verdana"/>
          <w:rtl w:val="0"/>
          <w:lang w:val="tr"/>
        </w:rPr>
        <w:t>Katılımcılarınız kursa kaydolduklarında halihazırda hangi bilgi, beceri ve tutumlara sahipler?</w:t>
      </w:r>
    </w:p>
    <w:p w:rsidR="008C5BF0" w:rsidRPr="00F87324" w:rsidP="008C5BF0" w14:paraId="5F6AFDB6" w14:textId="77777777">
      <w:pPr>
        <w:jc w:val="both"/>
        <w:rPr>
          <w:rFonts w:ascii="Verdana" w:hAnsi="Verdana"/>
          <w:lang w:val="en-GB"/>
        </w:rPr>
      </w:pPr>
    </w:p>
    <w:p w:rsidR="008C5BF0" w:rsidRPr="00F87324" w:rsidP="008C5BF0" w14:paraId="1D8CF8FC" w14:textId="122CE572">
      <w:pPr>
        <w:pStyle w:val="ListParagraph"/>
        <w:numPr>
          <w:ilvl w:val="0"/>
          <w:numId w:val="2"/>
        </w:numPr>
        <w:bidi w:val="0"/>
        <w:jc w:val="both"/>
        <w:rPr>
          <w:rFonts w:ascii="Verdana" w:hAnsi="Verdana"/>
          <w:lang w:val="en-GB"/>
        </w:rPr>
      </w:pPr>
      <w:r w:rsidRPr="00F87324">
        <w:rPr>
          <w:rFonts w:ascii="Verdana" w:hAnsi="Verdana"/>
          <w:rtl w:val="0"/>
          <w:lang w:val="tr"/>
        </w:rPr>
        <w:t>Onların hangi bilgi, beceri, tutum ve değerleri geliştirmelerini istiyorsunuz?</w:t>
      </w:r>
    </w:p>
    <w:p w:rsidR="008C5BF0" w:rsidRPr="00F87324" w:rsidP="008C5BF0" w14:paraId="18732D51" w14:textId="77777777">
      <w:pPr>
        <w:jc w:val="both"/>
        <w:rPr>
          <w:rFonts w:ascii="Verdana" w:hAnsi="Verdana"/>
          <w:lang w:val="en-GB"/>
        </w:rPr>
      </w:pPr>
    </w:p>
    <w:p w:rsidR="008C5BF0" w:rsidRPr="00F87324" w:rsidP="008C5BF0" w14:paraId="4438947E" w14:textId="26940AE8">
      <w:pPr>
        <w:pStyle w:val="ListParagraph"/>
        <w:numPr>
          <w:ilvl w:val="0"/>
          <w:numId w:val="2"/>
        </w:numPr>
        <w:bidi w:val="0"/>
        <w:jc w:val="both"/>
        <w:rPr>
          <w:rFonts w:ascii="Verdana" w:hAnsi="Verdana"/>
          <w:lang w:val="en-GB"/>
        </w:rPr>
      </w:pPr>
      <w:r w:rsidRPr="00F87324">
        <w:rPr>
          <w:rFonts w:ascii="Verdana" w:hAnsi="Verdana"/>
          <w:rtl w:val="0"/>
          <w:lang w:val="tr"/>
        </w:rPr>
        <w:t>Öğrenenlerin ÖH'lere ulaştıklarını göstermek için ne yapmaları gerekecek?</w:t>
      </w:r>
    </w:p>
    <w:p w:rsidR="008C5BF0" w:rsidRPr="00F87324" w:rsidP="008C5BF0" w14:paraId="71BFF5A8" w14:textId="77777777">
      <w:pPr>
        <w:jc w:val="both"/>
        <w:rPr>
          <w:rFonts w:ascii="Verdana" w:hAnsi="Verdana"/>
          <w:lang w:val="en-GB"/>
        </w:rPr>
      </w:pPr>
    </w:p>
    <w:p w:rsidR="008C5BF0" w:rsidRPr="00F87324" w:rsidP="008C5BF0" w14:paraId="49A58169" w14:textId="4337ED1F">
      <w:pPr>
        <w:bidi w:val="0"/>
        <w:jc w:val="both"/>
        <w:rPr>
          <w:rFonts w:ascii="Verdana" w:hAnsi="Verdana"/>
          <w:lang w:val="en-GB"/>
        </w:rPr>
      </w:pPr>
      <w:r w:rsidRPr="00F87324">
        <w:rPr>
          <w:rFonts w:ascii="Verdana" w:hAnsi="Verdana"/>
          <w:rtl w:val="0"/>
          <w:lang w:val="tr"/>
        </w:rPr>
        <w:t>Öğrenenlerin başarmalarını istediğiniz şeyi ifade ediyorsa, aynı etkin fiili ÖH'lerde birden fazla kullanmak iyidir.</w:t>
      </w:r>
    </w:p>
    <w:p w:rsidR="008C5BF0" w:rsidRPr="00F87324" w:rsidP="008C5BF0" w14:paraId="5390915B" w14:textId="6C253AC1">
      <w:pPr>
        <w:jc w:val="both"/>
        <w:rPr>
          <w:rFonts w:ascii="Verdana" w:hAnsi="Verdana"/>
          <w:lang w:val="en-GB"/>
        </w:rPr>
      </w:pPr>
    </w:p>
    <w:p w:rsidR="008C5BF0" w:rsidRPr="00F87324" w:rsidP="008C5BF0" w14:paraId="5B6E51EF" w14:textId="77777777">
      <w:pPr>
        <w:bidi w:val="0"/>
        <w:jc w:val="both"/>
        <w:rPr>
          <w:rFonts w:ascii="Verdana" w:hAnsi="Verdana"/>
          <w:lang w:val="en-GB"/>
        </w:rPr>
      </w:pPr>
      <w:r w:rsidRPr="00F87324">
        <w:rPr>
          <w:rFonts w:ascii="Verdana" w:hAnsi="Verdana"/>
          <w:rtl w:val="0"/>
          <w:lang w:val="tr"/>
        </w:rPr>
        <w:t>Bilgi ve anlayışta gelişmişliği farklı düzeylerde ayrıştırma fikri Bloom'un Taksonomisi kullanılarak gösterilebilir. 'Düşük' (veya daha temel) ve 'yüksek' (veya (veya daha temel) ve 'yüksek' (veya daha ileri) ÖH'leri ayırt eden bir 'etkin fiiller' tablosu geliştirmek mümkündür.</w:t>
      </w:r>
    </w:p>
    <w:p w:rsidR="008C5BF0" w:rsidRPr="00F87324" w:rsidP="008C5BF0" w14:paraId="6B4BF120" w14:textId="5FEDA141">
      <w:pPr>
        <w:jc w:val="both"/>
        <w:rPr>
          <w:rFonts w:ascii="Verdana" w:hAnsi="Verdana"/>
          <w:lang w:val="en-GB"/>
        </w:rPr>
      </w:pPr>
    </w:p>
    <w:p w:rsidR="008C5BF0" w:rsidRPr="00F87324" w:rsidP="008C5BF0" w14:paraId="3A502EFA" w14:textId="31270A08">
      <w:pPr>
        <w:jc w:val="both"/>
        <w:rPr>
          <w:rFonts w:ascii="Verdana" w:hAnsi="Verdana"/>
          <w:lang w:val="en-GB"/>
        </w:rPr>
      </w:pPr>
    </w:p>
    <w:p w:rsidR="008C5BF0" w:rsidRPr="00F87324" w:rsidP="008C5BF0" w14:paraId="31ADE409" w14:textId="156EBF40">
      <w:pPr>
        <w:bidi w:val="0"/>
        <w:jc w:val="both"/>
        <w:rPr>
          <w:rFonts w:ascii="Verdana" w:hAnsi="Verdana"/>
          <w:b/>
          <w:bCs/>
          <w:lang w:val="en-GB"/>
        </w:rPr>
      </w:pPr>
      <w:r w:rsidRPr="00F87324">
        <w:rPr>
          <w:rFonts w:ascii="Verdana" w:hAnsi="Verdana"/>
          <w:rtl w:val="0"/>
          <w:lang w:val="tr"/>
        </w:rPr>
        <w:t xml:space="preserve">Hukukçular için İnsan Hakları eğitim metodolojisine ilişkin "HELP Guidebook on CoE"den alınmış/uyarlanmıştır </w:t>
      </w:r>
      <w:hyperlink r:id="rId5" w:history="1">
        <w:r w:rsidRPr="00F87324">
          <w:rPr>
            <w:rStyle w:val="Hyperlink"/>
            <w:rFonts w:ascii="Verdana" w:hAnsi="Verdana"/>
            <w:rtl w:val="0"/>
            <w:lang w:val="tr"/>
          </w:rPr>
          <w:t>https://rm.coe.int/help-guidebook-on-human-rights-taining-methodology-for-legal-professio/1680734cac</w:t>
        </w:r>
      </w:hyperlink>
      <w:r w:rsidRPr="00F87324">
        <w:rPr>
          <w:rFonts w:ascii="Verdana" w:hAnsi="Verdana"/>
          <w:rtl w:val="0"/>
          <w:lang w:val="tr"/>
        </w:rPr>
        <w:t xml:space="preserve"> </w:t>
      </w:r>
    </w:p>
    <w:sectPr>
      <w:footerReference w:type="even"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78412922"/>
      <w:docPartObj>
        <w:docPartGallery w:val="Page Numbers (Bottom of Page)"/>
        <w:docPartUnique/>
      </w:docPartObj>
    </w:sdtPr>
    <w:sdtEndPr>
      <w:rPr>
        <w:rStyle w:val="PageNumber"/>
      </w:rPr>
    </w:sdtEndPr>
    <w:sdtContent>
      <w:p w:rsidR="008C5BF0" w:rsidP="00BB2579" w14:paraId="201B9516" w14:textId="0FD8919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8C5BF0" w14:paraId="74FCC4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565802377"/>
      <w:docPartObj>
        <w:docPartGallery w:val="Page Numbers (Bottom of Page)"/>
        <w:docPartUnique/>
      </w:docPartObj>
    </w:sdtPr>
    <w:sdtEndPr>
      <w:rPr>
        <w:rStyle w:val="PageNumber"/>
      </w:rPr>
    </w:sdtEndPr>
    <w:sdtContent>
      <w:p w:rsidR="008C5BF0" w:rsidP="00BB2579" w14:paraId="3555CD51" w14:textId="6D29A7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p w:rsidR="008C5BF0" w14:paraId="4095291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0A32A1"/>
    <w:multiLevelType w:val="multilevel"/>
    <w:tmpl w:val="3212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2520B"/>
    <w:multiLevelType w:val="hybridMultilevel"/>
    <w:tmpl w:val="81B0C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6E60880"/>
    <w:multiLevelType w:val="hybridMultilevel"/>
    <w:tmpl w:val="5E2051F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6C3F70E4"/>
    <w:multiLevelType w:val="hybridMultilevel"/>
    <w:tmpl w:val="35ECF070"/>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F0"/>
    <w:rsid w:val="000B202C"/>
    <w:rsid w:val="0019564F"/>
    <w:rsid w:val="002953FD"/>
    <w:rsid w:val="002A655B"/>
    <w:rsid w:val="004D24E6"/>
    <w:rsid w:val="004E0C4E"/>
    <w:rsid w:val="004F504F"/>
    <w:rsid w:val="00687CFF"/>
    <w:rsid w:val="00747DE0"/>
    <w:rsid w:val="008C5BF0"/>
    <w:rsid w:val="00A251D2"/>
    <w:rsid w:val="00AA1B09"/>
    <w:rsid w:val="00BB2579"/>
    <w:rsid w:val="00D20F5C"/>
    <w:rsid w:val="00F87324"/>
  </w:rsids>
  <m:mathPr>
    <m:mathFont m:val="Cambria Math"/>
  </m:mathPr>
  <w:clrSchemeMapping w:bg1="light1" w:t1="dark1" w:bg2="light2" w:t2="dark2" w:accent1="accent1" w:accent2="accent2" w:accent3="accent3" w:accent4="accent4" w:accent5="accent5" w:accent6="accent6" w:hyperlink="hyperlink" w:followedHyperlink="followedHyperlink"/>
  <w15:chartTrackingRefBased/>
  <w15:docId w15:val="{EF6B30FE-72DD-DE45-8585-7FE9884C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BF0"/>
    <w:pPr>
      <w:ind w:left="720"/>
      <w:contextualSpacing/>
    </w:pPr>
  </w:style>
  <w:style w:type="paragraph" w:styleId="Footer">
    <w:name w:val="footer"/>
    <w:basedOn w:val="Normal"/>
    <w:link w:val="FooterChar"/>
    <w:uiPriority w:val="99"/>
    <w:unhideWhenUsed/>
    <w:rsid w:val="008C5BF0"/>
    <w:pPr>
      <w:tabs>
        <w:tab w:val="center" w:pos="4513"/>
        <w:tab w:val="right" w:pos="9026"/>
      </w:tabs>
    </w:pPr>
  </w:style>
  <w:style w:type="character" w:customStyle="1" w:styleId="FooterChar">
    <w:name w:val="Footer Char"/>
    <w:basedOn w:val="DefaultParagraphFont"/>
    <w:link w:val="Footer"/>
    <w:uiPriority w:val="99"/>
    <w:rsid w:val="008C5BF0"/>
  </w:style>
  <w:style w:type="character" w:styleId="PageNumber">
    <w:name w:val="page number"/>
    <w:basedOn w:val="DefaultParagraphFont"/>
    <w:uiPriority w:val="99"/>
    <w:semiHidden/>
    <w:unhideWhenUsed/>
    <w:rsid w:val="008C5BF0"/>
  </w:style>
  <w:style w:type="character" w:styleId="Hyperlink">
    <w:name w:val="Hyperlink"/>
    <w:basedOn w:val="DefaultParagraphFont"/>
    <w:uiPriority w:val="99"/>
    <w:unhideWhenUsed/>
    <w:rsid w:val="008C5BF0"/>
    <w:rPr>
      <w:color w:val="0563C1" w:themeColor="hyperlink"/>
      <w:u w:val="single"/>
    </w:rPr>
  </w:style>
  <w:style w:type="character" w:customStyle="1" w:styleId="UnresolvedMention">
    <w:name w:val="Unresolved Mention"/>
    <w:basedOn w:val="DefaultParagraphFont"/>
    <w:uiPriority w:val="99"/>
    <w:semiHidden/>
    <w:unhideWhenUsed/>
    <w:rsid w:val="008C5BF0"/>
    <w:rPr>
      <w:color w:val="605E5C"/>
      <w:shd w:val="clear" w:color="auto" w:fill="E1DFDD"/>
    </w:rPr>
  </w:style>
  <w:style w:type="paragraph" w:styleId="BalloonText">
    <w:name w:val="Balloon Text"/>
    <w:basedOn w:val="Normal"/>
    <w:link w:val="BalloonTextChar"/>
    <w:uiPriority w:val="99"/>
    <w:semiHidden/>
    <w:unhideWhenUsed/>
    <w:rsid w:val="002953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3FD"/>
    <w:rPr>
      <w:rFonts w:ascii="Segoe UI" w:hAnsi="Segoe UI" w:cs="Segoe UI"/>
      <w:sz w:val="18"/>
      <w:szCs w:val="18"/>
    </w:rPr>
  </w:style>
  <w:style w:type="character" w:styleId="CommentReference">
    <w:name w:val="annotation reference"/>
    <w:basedOn w:val="DefaultParagraphFont"/>
    <w:uiPriority w:val="99"/>
    <w:semiHidden/>
    <w:unhideWhenUsed/>
    <w:rsid w:val="002953FD"/>
    <w:rPr>
      <w:sz w:val="16"/>
      <w:szCs w:val="16"/>
    </w:rPr>
  </w:style>
  <w:style w:type="paragraph" w:styleId="CommentText">
    <w:name w:val="annotation text"/>
    <w:basedOn w:val="Normal"/>
    <w:link w:val="CommentTextChar"/>
    <w:uiPriority w:val="99"/>
    <w:semiHidden/>
    <w:unhideWhenUsed/>
    <w:rsid w:val="002953FD"/>
    <w:rPr>
      <w:sz w:val="20"/>
      <w:szCs w:val="20"/>
    </w:rPr>
  </w:style>
  <w:style w:type="character" w:customStyle="1" w:styleId="CommentTextChar">
    <w:name w:val="Comment Text Char"/>
    <w:basedOn w:val="DefaultParagraphFont"/>
    <w:link w:val="CommentText"/>
    <w:uiPriority w:val="99"/>
    <w:semiHidden/>
    <w:rsid w:val="002953FD"/>
    <w:rPr>
      <w:sz w:val="20"/>
      <w:szCs w:val="20"/>
    </w:rPr>
  </w:style>
  <w:style w:type="paragraph" w:styleId="CommentSubject">
    <w:name w:val="annotation subject"/>
    <w:basedOn w:val="CommentText"/>
    <w:next w:val="CommentText"/>
    <w:link w:val="CommentSubjectChar"/>
    <w:uiPriority w:val="99"/>
    <w:semiHidden/>
    <w:unhideWhenUsed/>
    <w:rsid w:val="002953FD"/>
    <w:rPr>
      <w:b/>
      <w:bCs/>
    </w:rPr>
  </w:style>
  <w:style w:type="character" w:customStyle="1" w:styleId="CommentSubjectChar">
    <w:name w:val="Comment Subject Char"/>
    <w:basedOn w:val="CommentTextChar"/>
    <w:link w:val="CommentSubject"/>
    <w:uiPriority w:val="99"/>
    <w:semiHidden/>
    <w:rsid w:val="002953FD"/>
    <w:rPr>
      <w:b/>
      <w:bCs/>
      <w:sz w:val="20"/>
      <w:szCs w:val="20"/>
    </w:rPr>
  </w:style>
  <w:style w:type="character" w:styleId="FollowedHyperlink">
    <w:name w:val="FollowedHyperlink"/>
    <w:basedOn w:val="DefaultParagraphFont"/>
    <w:uiPriority w:val="99"/>
    <w:semiHidden/>
    <w:unhideWhenUsed/>
    <w:rsid w:val="001956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m.coe.int/help-guidebook-on-human-rights-taining-methodology-for-legal-professio/1680734cac"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B9732-B84E-4C92-981E-6FBC7DA3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Roagna</dc:creator>
  <cp:lastModifiedBy>Ivana Roagna</cp:lastModifiedBy>
  <cp:revision>2</cp:revision>
  <dcterms:created xsi:type="dcterms:W3CDTF">2021-09-29T08:49:00Z</dcterms:created>
  <dcterms:modified xsi:type="dcterms:W3CDTF">2021-09-29T08:49:00Z</dcterms:modified>
</cp:coreProperties>
</file>