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73E4" w14:textId="77777777" w:rsidR="00FF0B89" w:rsidRPr="00111E16" w:rsidRDefault="000D5688" w:rsidP="0023010F">
      <w:pPr>
        <w:spacing w:after="0"/>
        <w:jc w:val="center"/>
        <w:rPr>
          <w:rFonts w:ascii="Times New Roman" w:hAnsi="Times New Roman" w:cs="Times New Roman"/>
          <w:b/>
        </w:rPr>
      </w:pPr>
      <w:r>
        <w:rPr>
          <w:rFonts w:ascii="Times New Roman" w:hAnsi="Times New Roman"/>
          <w:b/>
        </w:rPr>
        <w:t>RAST STUDIMOR I KRIMEVE KIBERNETIKE</w:t>
      </w:r>
    </w:p>
    <w:p w14:paraId="70DC5E5D" w14:textId="77777777" w:rsidR="00111E16" w:rsidRPr="00A86670" w:rsidRDefault="00111E16" w:rsidP="00111E16">
      <w:pPr>
        <w:jc w:val="both"/>
        <w:rPr>
          <w:rFonts w:ascii="Times New Roman" w:hAnsi="Times New Roman" w:cs="Times New Roman"/>
          <w:b/>
          <w:bCs/>
        </w:rPr>
      </w:pPr>
      <w:r>
        <w:rPr>
          <w:rFonts w:ascii="Times New Roman" w:hAnsi="Times New Roman"/>
          <w:b/>
        </w:rPr>
        <w:t>Faktet:</w:t>
      </w:r>
    </w:p>
    <w:p w14:paraId="511D0F8B" w14:textId="77777777" w:rsidR="00111E16" w:rsidRPr="00111E16" w:rsidRDefault="00111E16" w:rsidP="00111E16">
      <w:pPr>
        <w:jc w:val="both"/>
        <w:rPr>
          <w:rFonts w:ascii="Times New Roman" w:hAnsi="Times New Roman" w:cs="Times New Roman"/>
          <w:b/>
          <w:i/>
        </w:rPr>
      </w:pPr>
      <w:r>
        <w:rPr>
          <w:rFonts w:ascii="Times New Roman" w:hAnsi="Times New Roman"/>
          <w:b/>
          <w:i/>
        </w:rPr>
        <w:t>Shpjegim i përgjithshëm:</w:t>
      </w:r>
    </w:p>
    <w:p w14:paraId="62EA27C7" w14:textId="77777777" w:rsid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 xml:space="preserve">Shteti i Gondorit është një vend në zhvillim në Azi dhe fqinj i Rohanit.  Gondori është anëtar i OBT-së, OKB-së dhe Komonuelthit.  Gondori ka qenë tradicionalisht një qendër e një industrie bankare dhe financiare lulëzuese në rajon dhe ndërkombëtarisht.  Si rezultat i kabllos së re me fibër optike nënujore të Gondorit (lidhjet me të cilat Gondor ofron me vendet fqinje si Rohani), Gondori ka përjetuar rritje të gjerësisë së brezit të internetit.  Kjo ka çuar në inovacione në Gondor, të tilla si bankimi në internet dhe pagesat elektronike si duke përdorur kompjuterë, ashtu edhe lidhjet e internetit 3G me shpejtësi të lartë mbi pajisjet celulare për klientët vendorë, si dhe për mbajtësit e llogarive të huaja.  Një nga bankat më të mëdha në Gondor, Banka Kombëtare e Gondorit ("GNB") është lidhur me GonTel, ofruesin e shërbimit Cellco/telefonisë celulare në Gondor për të ofruar pagesa celulare duke përdorur IP.  </w:t>
      </w:r>
    </w:p>
    <w:p w14:paraId="4C04E6CB" w14:textId="77777777" w:rsidR="00111E16" w:rsidRPr="00111E16" w:rsidRDefault="00111E16" w:rsidP="00111E16">
      <w:pPr>
        <w:spacing w:before="100" w:beforeAutospacing="1" w:after="100" w:afterAutospacing="1" w:line="240" w:lineRule="auto"/>
        <w:jc w:val="both"/>
        <w:rPr>
          <w:rFonts w:ascii="Times New Roman" w:hAnsi="Times New Roman" w:cs="Times New Roman"/>
          <w:b/>
          <w:i/>
        </w:rPr>
      </w:pPr>
      <w:r>
        <w:rPr>
          <w:rFonts w:ascii="Times New Roman" w:hAnsi="Times New Roman"/>
          <w:b/>
          <w:i/>
        </w:rPr>
        <w:t>Rasti:</w:t>
      </w:r>
    </w:p>
    <w:p w14:paraId="7316C9FE"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 xml:space="preserve">GNB dhe Gontel kanë zbuluar kohët e fundit ekzistencën e emailave phishing prej uebsajteve të mashtruara që pretendojnë të jenë emaila të GNB-së ose Gontel-it me markat dhe llogot e tyre.  Këta emaila informojnë marrësit se llogaria e tyre është rivendosur për arsye sigurie dhe për të ruajtur qasjen në llogaritë e tyre, ata duhet të klikojnë në linqet e ofruara në email për të vërtetuar llogaritë e tyre.  Linqet duket se janë adresat autentike të uebsajteve të GNB-së dhe/ose Gontelit (emrat e domenit), por ato ose i drejtojnë marrësit në një uebsajt tjetër ose i drejtojnë marrësit në një emër domeni i cili është i ngjashëm (hakerim i URL-së) me atë të emrit të domenit të GNB-së dhe/ose Gontelit ose i drejtojnë ato në një uebsajt të fshehur në nivelin e dytë ose të tretë të një emri tjetër domeni.  Uebsajtet duken dhe ndjehen tamam si uebsajte të GNB-së dhe/ose Gontel-it.  Me të mbërritur në këta uebsajte, marrësve u kërkohet të fusin detajet e llogarisë së tyre dhe informacione të tjera të identifikueshme personalisht (përfshirë numrat e llogarisë, ID-të e klientëve, fjalëkalimet dhe informacione të tjera sigurie), të cilat më pas përdoren për të hyrë ilegalisht në llogaritë e tyre dhe për të tërhequr fonde.  </w:t>
      </w:r>
    </w:p>
    <w:p w14:paraId="4C5003B8"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Hetimi fillestar çon gjurmë IP te Rohani dhe duket se dërguesit po përdorin fluks të shpejtë për të lehtësuar sulmet e phishing dhe për të maskuar origjinën e emrave të domeneve dhe gjithashtu për të mashtruar adresat e emailit të dërguesit.   Dyshohet se pas këtyre sulmeve të krimit kibernetik mund të qëndrojë qeveria e Rohanit.  Zbatimi i ligjit në Rohan ka refuzuar të bashkëpunojë në përgjigje të kërkesave për ndihmë juridike të ndërsjellë duke përmendur sovranitetin dhe sigurinë.  Sidoqoftë, mënyra e vetme për të përcaktuar origjinën reale të emailave është të kërkohet ndihmë nga ISP-të e Rohanit dhe Regjistruesit e emrave të domenit në fjalë.</w:t>
      </w:r>
    </w:p>
    <w:p w14:paraId="34AB79CB"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Hetimet dhe diskutimet me organe të tjera të zbatimit të ligjit dhe rregullatorë të huaj sugjerojnë se emaila të tillë dërgohen nga kriminelë të sofistikuar, të cilët mund të jenë ose aktorë shtetërorë ose krim i organizuar i sofistikuar.  Ndonjëherë të ardhurat nga ky krim përdoren për të lehtësuar transmetimet e paligjshme të këmbimit valutor dhe transfertat ndërkufitare, duke ndihmuar kështu operacionet e pastrimit të parave dhe krimeve të tjera të rënda.</w:t>
      </w:r>
    </w:p>
    <w:p w14:paraId="316C3351"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Gondori nuk ka ndonjë legjislacion për krimin kibernetik i cili parashikon vepra specifike kibernetike ose kompetenca procedurale dhe po shikon në kodin e tij penal veprat tradicionale të mashtrimit dhe krimit financiar për të ndjekur hetimin.</w:t>
      </w:r>
    </w:p>
    <w:p w14:paraId="1EF98AB6"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 xml:space="preserve">Gondori ka një Rregullator të pavarur të telekomit që nuk i përgjigjet Qeverisë, por Kontrolli dhe Politika e Internetit (Internet Governance and Policy) janë të përjashtuara nga fushëveprimi i tij.  Ministria për </w:t>
      </w:r>
      <w:r>
        <w:rPr>
          <w:rFonts w:ascii="Times New Roman" w:hAnsi="Times New Roman"/>
        </w:rPr>
        <w:lastRenderedPageBreak/>
        <w:t>Politikat e Internetit merret me çështje të ndërlidhura me internetin.  Ministria e Drejtësisë merret me Zbatimin e Ligjit.  Rregullorja për shërbime bankare merret ekskluzivisht me Bankën Shtetërore të fortë dhe të pavarur të Gondorit.</w:t>
      </w:r>
    </w:p>
    <w:p w14:paraId="664B2B40"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Ju jeni Këshilltari Ligjor/për Politika i Qeverisë së Gondorit për kontrollin e internetit dhe krimin kibernetik.</w:t>
      </w:r>
    </w:p>
    <w:p w14:paraId="6CC72CDC" w14:textId="77777777" w:rsidR="00111E16" w:rsidRPr="00111E16" w:rsidRDefault="00111E16" w:rsidP="00111E16">
      <w:pPr>
        <w:spacing w:before="100" w:beforeAutospacing="1" w:after="100" w:afterAutospacing="1" w:line="240" w:lineRule="auto"/>
        <w:jc w:val="both"/>
        <w:rPr>
          <w:rFonts w:ascii="Times New Roman" w:hAnsi="Times New Roman" w:cs="Times New Roman"/>
        </w:rPr>
      </w:pPr>
      <w:r>
        <w:rPr>
          <w:rFonts w:ascii="Times New Roman" w:hAnsi="Times New Roman"/>
        </w:rPr>
        <w:t>Qeveria e Gondorit ju ka kërkuar të sugjeroni opsione për të adresuar këtë problem.  Disa nga opsionet që qeveria ju ka kërkuar të merrni në konsideratë përfshijnë:</w:t>
      </w:r>
    </w:p>
    <w:p w14:paraId="3010E25E"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Bllokimin e emrave të domeneve dhe/ose adresave të IP-ve</w:t>
      </w:r>
    </w:p>
    <w:p w14:paraId="12C9001A"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Bllokimin e të gjitha emailave dhe uebsajteve të Rohanit</w:t>
      </w:r>
    </w:p>
    <w:p w14:paraId="441591A7"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Kontaktimi drejtpërdrejt i ISP-ve të Rohanit për të kërkuar ndihmë</w:t>
      </w:r>
    </w:p>
    <w:p w14:paraId="0A8193F4"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Kontaktimi i Interpolit</w:t>
      </w:r>
    </w:p>
    <w:p w14:paraId="2815BAC7"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Refuzimi i lidhjes së Rohanit me kabllon nënujore të Gondorit</w:t>
      </w:r>
    </w:p>
    <w:p w14:paraId="64AB348A"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Deklarimi i sulmeve për terrorizëm kibernetik, agresion nga Rohan dhe çuarja e çështjes në OKB</w:t>
      </w:r>
    </w:p>
    <w:p w14:paraId="170B8094" w14:textId="77777777" w:rsidR="00111E16" w:rsidRPr="00111E16" w:rsidRDefault="00111E16" w:rsidP="00111E16">
      <w:pPr>
        <w:pStyle w:val="ListParagraph"/>
        <w:numPr>
          <w:ilvl w:val="0"/>
          <w:numId w:val="6"/>
        </w:numPr>
        <w:spacing w:before="100" w:beforeAutospacing="1" w:after="100" w:afterAutospacing="1" w:line="240" w:lineRule="auto"/>
        <w:jc w:val="both"/>
        <w:rPr>
          <w:rFonts w:ascii="Times New Roman" w:hAnsi="Times New Roman" w:cs="Times New Roman"/>
        </w:rPr>
      </w:pPr>
      <w:r>
        <w:rPr>
          <w:rFonts w:ascii="Times New Roman" w:hAnsi="Times New Roman"/>
        </w:rPr>
        <w:t>Zbatimi i vëzhgimit dhe monitorimit në kohë reale jo vetëm të të dhënave të trafikut, por edhe të të dhënave të përmbajtjes</w:t>
      </w:r>
    </w:p>
    <w:p w14:paraId="2F507D91" w14:textId="77777777" w:rsidR="000D5688" w:rsidRDefault="000D5688" w:rsidP="00111E16">
      <w:pPr>
        <w:jc w:val="both"/>
        <w:rPr>
          <w:rFonts w:ascii="Times New Roman" w:hAnsi="Times New Roman" w:cs="Times New Roman"/>
          <w:b/>
        </w:rPr>
      </w:pPr>
    </w:p>
    <w:p w14:paraId="62C18B4E" w14:textId="2D5CC3C0" w:rsidR="00111E16" w:rsidRPr="00284848" w:rsidRDefault="00111E16" w:rsidP="00284848">
      <w:pPr>
        <w:jc w:val="both"/>
        <w:rPr>
          <w:rFonts w:ascii="Times New Roman" w:hAnsi="Times New Roman" w:cs="Times New Roman"/>
          <w:b/>
        </w:rPr>
      </w:pPr>
      <w:r>
        <w:rPr>
          <w:rFonts w:ascii="Times New Roman" w:hAnsi="Times New Roman"/>
          <w:b/>
        </w:rPr>
        <w:t>Pyetje për diskutim në kontekstin e praktikave më të mira</w:t>
      </w:r>
    </w:p>
    <w:p w14:paraId="360A1DEE" w14:textId="77777777" w:rsidR="00111E16" w:rsidRPr="00111E16" w:rsidRDefault="00111E16" w:rsidP="00111E16">
      <w:pPr>
        <w:spacing w:before="100" w:beforeAutospacing="1" w:after="100" w:afterAutospacing="1" w:line="240" w:lineRule="auto"/>
        <w:jc w:val="both"/>
        <w:rPr>
          <w:rFonts w:ascii="Times New Roman" w:hAnsi="Times New Roman" w:cs="Times New Roman"/>
          <w:b/>
          <w:i/>
        </w:rPr>
      </w:pPr>
      <w:r>
        <w:rPr>
          <w:rFonts w:ascii="Times New Roman" w:hAnsi="Times New Roman"/>
          <w:b/>
          <w:i/>
        </w:rPr>
        <w:t>Krimet kibernetike</w:t>
      </w:r>
    </w:p>
    <w:p w14:paraId="3D2B1132"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Çfarë lloj veprash janë kryer në këtë rast?</w:t>
      </w:r>
    </w:p>
    <w:p w14:paraId="383F8DE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A do të ndihmonte nëse përkufizimi i veprave penale në Gondor, Rohan dhe vende të tjera bashkëpunuese do të ishte i ngjashëm dhe do të penalizohej?</w:t>
      </w:r>
    </w:p>
    <w:p w14:paraId="793459A4"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Çfarë modelesh mund të kërkojë Gondori për futjen e legjislacionit për krimin kibernetik?</w:t>
      </w:r>
    </w:p>
    <w:p w14:paraId="685FF0A5"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Si mund të sigurohet Gondori që Rohani të obligohet sipas ligjit ndërkombëtar t'i përgjigjet kërkesave të tij për bashkëpunim?</w:t>
      </w:r>
    </w:p>
    <w:p w14:paraId="439FE4C0"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A duhet të jetë Gondori në gjendje të kontaktojë drejtpërdrejt dhe të marrë informacion dhe ndihmë nga ISP-të e Rohanit?</w:t>
      </w:r>
    </w:p>
    <w:p w14:paraId="6817686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A mund të kërkojë Gondori ndihmë nga Interpoli?</w:t>
      </w:r>
    </w:p>
    <w:p w14:paraId="650DECCC" w14:textId="77777777" w:rsidR="00111E16" w:rsidRPr="00111E16" w:rsidRDefault="00111E16" w:rsidP="00111E16">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Çfarë roli mund të luajë OKB-ja në lidhje me krimin kibernetik të lidhur me pastrimin e parave?</w:t>
      </w:r>
    </w:p>
    <w:p w14:paraId="1EFAC757" w14:textId="77777777" w:rsidR="004D6A52" w:rsidRDefault="000E5001">
      <w:pPr>
        <w:pStyle w:val="ListParagraph"/>
        <w:numPr>
          <w:ilvl w:val="0"/>
          <w:numId w:val="9"/>
        </w:numPr>
        <w:spacing w:before="100" w:beforeAutospacing="1" w:after="100" w:afterAutospacing="1" w:line="360" w:lineRule="auto"/>
        <w:jc w:val="both"/>
        <w:rPr>
          <w:rFonts w:ascii="Times New Roman" w:hAnsi="Times New Roman" w:cs="Times New Roman"/>
        </w:rPr>
      </w:pPr>
      <w:r>
        <w:rPr>
          <w:rFonts w:ascii="Times New Roman" w:hAnsi="Times New Roman"/>
        </w:rPr>
        <w:t>Çfarë ndihme mund të ofrojë Unioni Ndërkombëtar i Telekomunikacionit (ITU)?</w:t>
      </w:r>
    </w:p>
    <w:p w14:paraId="15BE13FF" w14:textId="77777777" w:rsidR="00FA1BC6" w:rsidRDefault="00111E16" w:rsidP="00111E16">
      <w:pPr>
        <w:pStyle w:val="ListParagraph"/>
        <w:numPr>
          <w:ilvl w:val="0"/>
          <w:numId w:val="9"/>
        </w:numPr>
        <w:spacing w:before="100" w:beforeAutospacing="1" w:after="100" w:afterAutospacing="1" w:line="240" w:lineRule="auto"/>
        <w:jc w:val="both"/>
        <w:rPr>
          <w:rFonts w:ascii="Times New Roman" w:hAnsi="Times New Roman" w:cs="Times New Roman"/>
        </w:rPr>
      </w:pPr>
      <w:r>
        <w:rPr>
          <w:rFonts w:ascii="Times New Roman" w:hAnsi="Times New Roman"/>
        </w:rPr>
        <w:t xml:space="preserve">Çfarë zgjidhjesh mund të ofrojë Komonuelthi, veçanërisht në këtë rast? </w:t>
      </w:r>
    </w:p>
    <w:p w14:paraId="21A98DD2" w14:textId="77777777" w:rsidR="004823D6" w:rsidRPr="004823D6" w:rsidRDefault="004823D6" w:rsidP="004823D6">
      <w:pPr>
        <w:pStyle w:val="ListParagraph"/>
        <w:spacing w:before="100" w:beforeAutospacing="1" w:after="100" w:afterAutospacing="1" w:line="240" w:lineRule="auto"/>
        <w:jc w:val="both"/>
        <w:rPr>
          <w:rFonts w:ascii="Times New Roman" w:hAnsi="Times New Roman" w:cs="Times New Roman"/>
          <w:sz w:val="12"/>
        </w:rPr>
      </w:pPr>
    </w:p>
    <w:p w14:paraId="2D0E2DEE" w14:textId="15B6D22C" w:rsidR="004823D6" w:rsidRDefault="004823D6" w:rsidP="004823D6">
      <w:pPr>
        <w:pStyle w:val="ListParagraph"/>
        <w:numPr>
          <w:ilvl w:val="0"/>
          <w:numId w:val="9"/>
        </w:numPr>
        <w:spacing w:before="100" w:beforeAutospacing="1" w:after="100" w:afterAutospacing="1" w:line="240" w:lineRule="auto"/>
        <w:jc w:val="both"/>
        <w:rPr>
          <w:rFonts w:ascii="Times New Roman" w:hAnsi="Times New Roman" w:cs="Times New Roman"/>
        </w:rPr>
      </w:pPr>
      <w:r>
        <w:rPr>
          <w:rFonts w:ascii="Times New Roman" w:hAnsi="Times New Roman"/>
        </w:rPr>
        <w:t xml:space="preserve">Çfarë zgjidhjesh mund të ofrojë Konventa e Budapestit, veçanërisht në këtë rast? </w:t>
      </w:r>
    </w:p>
    <w:p w14:paraId="5011D04F" w14:textId="77777777" w:rsidR="004823D6" w:rsidRPr="000D5688" w:rsidRDefault="004823D6" w:rsidP="004823D6">
      <w:pPr>
        <w:pStyle w:val="ListParagraph"/>
        <w:spacing w:before="100" w:beforeAutospacing="1" w:after="100" w:afterAutospacing="1" w:line="240" w:lineRule="auto"/>
        <w:jc w:val="both"/>
        <w:rPr>
          <w:rFonts w:ascii="Times New Roman" w:hAnsi="Times New Roman" w:cs="Times New Roman"/>
        </w:rPr>
      </w:pPr>
    </w:p>
    <w:sectPr w:rsidR="004823D6" w:rsidRPr="000D5688" w:rsidSect="002949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5084" w14:textId="77777777" w:rsidR="00D05B12" w:rsidRDefault="00D05B12" w:rsidP="00DE4068">
      <w:pPr>
        <w:spacing w:after="0" w:line="240" w:lineRule="auto"/>
      </w:pPr>
      <w:r>
        <w:separator/>
      </w:r>
    </w:p>
  </w:endnote>
  <w:endnote w:type="continuationSeparator" w:id="0">
    <w:p w14:paraId="7B8B27E7" w14:textId="77777777" w:rsidR="00D05B12" w:rsidRDefault="00D05B12" w:rsidP="00DE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4177"/>
      <w:docPartObj>
        <w:docPartGallery w:val="Page Numbers (Bottom of Page)"/>
        <w:docPartUnique/>
      </w:docPartObj>
    </w:sdtPr>
    <w:sdtEndPr/>
    <w:sdtContent>
      <w:sdt>
        <w:sdtPr>
          <w:id w:val="565050477"/>
          <w:docPartObj>
            <w:docPartGallery w:val="Page Numbers (Top of Page)"/>
            <w:docPartUnique/>
          </w:docPartObj>
        </w:sdtPr>
        <w:sdtEndPr/>
        <w:sdtContent>
          <w:p w14:paraId="0C6DBD77" w14:textId="77777777" w:rsidR="000A2F64" w:rsidRDefault="000A2F64">
            <w:pPr>
              <w:pStyle w:val="Footer"/>
              <w:jc w:val="center"/>
            </w:pPr>
            <w:r>
              <w:t xml:space="preserve">Faqe </w:t>
            </w:r>
            <w:r>
              <w:rPr>
                <w:b/>
                <w:sz w:val="24"/>
              </w:rPr>
              <w:fldChar w:fldCharType="begin"/>
            </w:r>
            <w:r>
              <w:rPr>
                <w:b/>
              </w:rPr>
              <w:instrText xml:space="preserve"> PAGE </w:instrText>
            </w:r>
            <w:r>
              <w:rPr>
                <w:b/>
                <w:sz w:val="24"/>
              </w:rPr>
              <w:fldChar w:fldCharType="separate"/>
            </w:r>
            <w:r w:rsidR="004823D6">
              <w:rPr>
                <w:b/>
              </w:rPr>
              <w:t>1</w:t>
            </w:r>
            <w:r>
              <w:rPr>
                <w:b/>
                <w:sz w:val="24"/>
              </w:rPr>
              <w:fldChar w:fldCharType="end"/>
            </w:r>
            <w:r>
              <w:t xml:space="preserve"> nga </w:t>
            </w:r>
            <w:r>
              <w:rPr>
                <w:b/>
                <w:sz w:val="24"/>
              </w:rPr>
              <w:fldChar w:fldCharType="begin"/>
            </w:r>
            <w:r>
              <w:rPr>
                <w:b/>
              </w:rPr>
              <w:instrText xml:space="preserve"> NUMPAGES  </w:instrText>
            </w:r>
            <w:r>
              <w:rPr>
                <w:b/>
                <w:sz w:val="24"/>
              </w:rPr>
              <w:fldChar w:fldCharType="separate"/>
            </w:r>
            <w:r w:rsidR="004823D6">
              <w:rPr>
                <w:b/>
              </w:rPr>
              <w:t>2</w:t>
            </w:r>
            <w:r>
              <w:rPr>
                <w:b/>
                <w:sz w:val="24"/>
              </w:rPr>
              <w:fldChar w:fldCharType="end"/>
            </w:r>
          </w:p>
        </w:sdtContent>
      </w:sdt>
    </w:sdtContent>
  </w:sdt>
  <w:p w14:paraId="690A2F9B" w14:textId="77777777" w:rsidR="000A2F64" w:rsidRDefault="000A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70BC" w14:textId="77777777" w:rsidR="00D05B12" w:rsidRDefault="00D05B12" w:rsidP="00DE4068">
      <w:pPr>
        <w:spacing w:after="0" w:line="240" w:lineRule="auto"/>
      </w:pPr>
      <w:r>
        <w:separator/>
      </w:r>
    </w:p>
  </w:footnote>
  <w:footnote w:type="continuationSeparator" w:id="0">
    <w:p w14:paraId="4DC44A44" w14:textId="77777777" w:rsidR="00D05B12" w:rsidRDefault="00D05B12" w:rsidP="00DE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1BD3"/>
    <w:multiLevelType w:val="hybridMultilevel"/>
    <w:tmpl w:val="271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E29D0"/>
    <w:multiLevelType w:val="hybridMultilevel"/>
    <w:tmpl w:val="9424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1AE6"/>
    <w:multiLevelType w:val="hybridMultilevel"/>
    <w:tmpl w:val="4F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A4DA7"/>
    <w:multiLevelType w:val="hybridMultilevel"/>
    <w:tmpl w:val="A646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59C6"/>
    <w:multiLevelType w:val="hybridMultilevel"/>
    <w:tmpl w:val="DBF29220"/>
    <w:lvl w:ilvl="0" w:tplc="90BC1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92FAE"/>
    <w:multiLevelType w:val="hybridMultilevel"/>
    <w:tmpl w:val="9F50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E75D4"/>
    <w:multiLevelType w:val="hybridMultilevel"/>
    <w:tmpl w:val="54E0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E2A02"/>
    <w:multiLevelType w:val="hybridMultilevel"/>
    <w:tmpl w:val="A66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02555"/>
    <w:multiLevelType w:val="hybridMultilevel"/>
    <w:tmpl w:val="C24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5"/>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C0"/>
    <w:rsid w:val="00001667"/>
    <w:rsid w:val="00017E8C"/>
    <w:rsid w:val="00053109"/>
    <w:rsid w:val="00053B7D"/>
    <w:rsid w:val="000A2F64"/>
    <w:rsid w:val="000B5C13"/>
    <w:rsid w:val="000D5688"/>
    <w:rsid w:val="000E5001"/>
    <w:rsid w:val="000F5FD3"/>
    <w:rsid w:val="000F6836"/>
    <w:rsid w:val="00110A80"/>
    <w:rsid w:val="00111E16"/>
    <w:rsid w:val="00112695"/>
    <w:rsid w:val="001264FF"/>
    <w:rsid w:val="001440E8"/>
    <w:rsid w:val="0016310A"/>
    <w:rsid w:val="001A4703"/>
    <w:rsid w:val="001A593B"/>
    <w:rsid w:val="001B616A"/>
    <w:rsid w:val="001D2960"/>
    <w:rsid w:val="001E7B64"/>
    <w:rsid w:val="00203A03"/>
    <w:rsid w:val="00206388"/>
    <w:rsid w:val="00206C58"/>
    <w:rsid w:val="0022514C"/>
    <w:rsid w:val="0023010F"/>
    <w:rsid w:val="00240E9D"/>
    <w:rsid w:val="00244C3B"/>
    <w:rsid w:val="00276D80"/>
    <w:rsid w:val="00284848"/>
    <w:rsid w:val="002949EC"/>
    <w:rsid w:val="002F672A"/>
    <w:rsid w:val="00332609"/>
    <w:rsid w:val="0039170A"/>
    <w:rsid w:val="003A235B"/>
    <w:rsid w:val="003A49A8"/>
    <w:rsid w:val="003A6CD4"/>
    <w:rsid w:val="003B130D"/>
    <w:rsid w:val="003B7CD3"/>
    <w:rsid w:val="003C1470"/>
    <w:rsid w:val="003C7C00"/>
    <w:rsid w:val="004069F9"/>
    <w:rsid w:val="00411B65"/>
    <w:rsid w:val="00415A3C"/>
    <w:rsid w:val="0043352D"/>
    <w:rsid w:val="00443627"/>
    <w:rsid w:val="00451B0D"/>
    <w:rsid w:val="00460120"/>
    <w:rsid w:val="00475A0F"/>
    <w:rsid w:val="004823D6"/>
    <w:rsid w:val="004A4325"/>
    <w:rsid w:val="004A4F97"/>
    <w:rsid w:val="004C3725"/>
    <w:rsid w:val="004D6A52"/>
    <w:rsid w:val="005211D4"/>
    <w:rsid w:val="00530F00"/>
    <w:rsid w:val="00544A08"/>
    <w:rsid w:val="005530F0"/>
    <w:rsid w:val="00572512"/>
    <w:rsid w:val="00574F54"/>
    <w:rsid w:val="0057780F"/>
    <w:rsid w:val="005B611C"/>
    <w:rsid w:val="005E2C59"/>
    <w:rsid w:val="005E70F8"/>
    <w:rsid w:val="005F155A"/>
    <w:rsid w:val="005F7E7E"/>
    <w:rsid w:val="00617BD7"/>
    <w:rsid w:val="00643729"/>
    <w:rsid w:val="00650112"/>
    <w:rsid w:val="006A44A9"/>
    <w:rsid w:val="00705767"/>
    <w:rsid w:val="0072579E"/>
    <w:rsid w:val="007324BE"/>
    <w:rsid w:val="00755895"/>
    <w:rsid w:val="007611B7"/>
    <w:rsid w:val="00782984"/>
    <w:rsid w:val="007D67C0"/>
    <w:rsid w:val="007D7A6D"/>
    <w:rsid w:val="007F6EEB"/>
    <w:rsid w:val="00802BE9"/>
    <w:rsid w:val="008404ED"/>
    <w:rsid w:val="008676A4"/>
    <w:rsid w:val="0089461A"/>
    <w:rsid w:val="008E5F0C"/>
    <w:rsid w:val="009972A6"/>
    <w:rsid w:val="00A050E5"/>
    <w:rsid w:val="00A25ED8"/>
    <w:rsid w:val="00A52F6D"/>
    <w:rsid w:val="00A6700A"/>
    <w:rsid w:val="00A82FC0"/>
    <w:rsid w:val="00A86670"/>
    <w:rsid w:val="00AA7E20"/>
    <w:rsid w:val="00AB7339"/>
    <w:rsid w:val="00AC25A9"/>
    <w:rsid w:val="00AC5849"/>
    <w:rsid w:val="00AD01F6"/>
    <w:rsid w:val="00B24138"/>
    <w:rsid w:val="00B3139C"/>
    <w:rsid w:val="00B67CE4"/>
    <w:rsid w:val="00BC40A9"/>
    <w:rsid w:val="00BC7090"/>
    <w:rsid w:val="00C61F84"/>
    <w:rsid w:val="00C64450"/>
    <w:rsid w:val="00C67DD2"/>
    <w:rsid w:val="00CD6F5E"/>
    <w:rsid w:val="00D05B12"/>
    <w:rsid w:val="00D14973"/>
    <w:rsid w:val="00D54C2D"/>
    <w:rsid w:val="00D9165E"/>
    <w:rsid w:val="00DC5A65"/>
    <w:rsid w:val="00DD108B"/>
    <w:rsid w:val="00DE4068"/>
    <w:rsid w:val="00DE4B50"/>
    <w:rsid w:val="00DF1D4D"/>
    <w:rsid w:val="00E04E26"/>
    <w:rsid w:val="00E25747"/>
    <w:rsid w:val="00E27EC0"/>
    <w:rsid w:val="00E3495E"/>
    <w:rsid w:val="00E5162A"/>
    <w:rsid w:val="00E52043"/>
    <w:rsid w:val="00E52612"/>
    <w:rsid w:val="00E55625"/>
    <w:rsid w:val="00E824AD"/>
    <w:rsid w:val="00E8781E"/>
    <w:rsid w:val="00F12D7E"/>
    <w:rsid w:val="00F13C54"/>
    <w:rsid w:val="00F205D9"/>
    <w:rsid w:val="00F8277E"/>
    <w:rsid w:val="00FA1BC6"/>
    <w:rsid w:val="00FA5DA0"/>
    <w:rsid w:val="00FE576B"/>
    <w:rsid w:val="00FE792F"/>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BCE77"/>
  <w15:docId w15:val="{4A4BB2AF-F61A-4F27-B774-44B1160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68"/>
    <w:pPr>
      <w:ind w:left="720"/>
      <w:contextualSpacing/>
    </w:pPr>
  </w:style>
  <w:style w:type="paragraph" w:styleId="FootnoteText">
    <w:name w:val="footnote text"/>
    <w:basedOn w:val="Normal"/>
    <w:link w:val="FootnoteTextChar"/>
    <w:uiPriority w:val="99"/>
    <w:unhideWhenUsed/>
    <w:rsid w:val="00DE4068"/>
    <w:pPr>
      <w:spacing w:after="0" w:line="240" w:lineRule="auto"/>
    </w:pPr>
    <w:rPr>
      <w:sz w:val="20"/>
      <w:szCs w:val="20"/>
    </w:rPr>
  </w:style>
  <w:style w:type="character" w:customStyle="1" w:styleId="FootnoteTextChar">
    <w:name w:val="Footnote Text Char"/>
    <w:basedOn w:val="DefaultParagraphFont"/>
    <w:link w:val="FootnoteText"/>
    <w:uiPriority w:val="99"/>
    <w:rsid w:val="00DE4068"/>
    <w:rPr>
      <w:sz w:val="20"/>
      <w:szCs w:val="20"/>
      <w:lang w:val="sq-AL"/>
    </w:rPr>
  </w:style>
  <w:style w:type="character" w:styleId="FootnoteReference">
    <w:name w:val="footnote reference"/>
    <w:basedOn w:val="DefaultParagraphFont"/>
    <w:uiPriority w:val="99"/>
    <w:semiHidden/>
    <w:unhideWhenUsed/>
    <w:rsid w:val="00DE4068"/>
    <w:rPr>
      <w:vertAlign w:val="superscript"/>
    </w:rPr>
  </w:style>
  <w:style w:type="character" w:styleId="Hyperlink">
    <w:name w:val="Hyperlink"/>
    <w:basedOn w:val="DefaultParagraphFont"/>
    <w:uiPriority w:val="99"/>
    <w:semiHidden/>
    <w:unhideWhenUsed/>
    <w:rsid w:val="00DE4068"/>
    <w:rPr>
      <w:color w:val="0000FF"/>
      <w:u w:val="single"/>
    </w:rPr>
  </w:style>
  <w:style w:type="paragraph" w:styleId="Header">
    <w:name w:val="header"/>
    <w:basedOn w:val="Normal"/>
    <w:link w:val="HeaderChar"/>
    <w:uiPriority w:val="99"/>
    <w:unhideWhenUsed/>
    <w:rsid w:val="00DF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D4D"/>
    <w:rPr>
      <w:lang w:val="sq-AL"/>
    </w:rPr>
  </w:style>
  <w:style w:type="paragraph" w:styleId="Footer">
    <w:name w:val="footer"/>
    <w:basedOn w:val="Normal"/>
    <w:link w:val="FooterChar"/>
    <w:uiPriority w:val="99"/>
    <w:unhideWhenUsed/>
    <w:rsid w:val="00DF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D4D"/>
    <w:rPr>
      <w:lang w:val="sq-AL"/>
    </w:rPr>
  </w:style>
  <w:style w:type="paragraph" w:styleId="BalloonText">
    <w:name w:val="Balloon Text"/>
    <w:basedOn w:val="Normal"/>
    <w:link w:val="BalloonTextChar"/>
    <w:uiPriority w:val="99"/>
    <w:semiHidden/>
    <w:unhideWhenUsed/>
    <w:rsid w:val="003A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5B"/>
    <w:rPr>
      <w:rFonts w:ascii="Tahoma"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FDAFB-32A7-42F9-B3B6-EE5394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Zahid Jamil</dc:creator>
  <cp:lastModifiedBy>BARBA Lucia</cp:lastModifiedBy>
  <cp:revision>2</cp:revision>
  <cp:lastPrinted>2012-05-22T13:54:00Z</cp:lastPrinted>
  <dcterms:created xsi:type="dcterms:W3CDTF">2022-02-07T15:06:00Z</dcterms:created>
  <dcterms:modified xsi:type="dcterms:W3CDTF">2022-02-07T15:06:00Z</dcterms:modified>
</cp:coreProperties>
</file>