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3DD02D" w14:textId="713A9FA6" w:rsidR="00D82C18" w:rsidRPr="00B3608C" w:rsidRDefault="00B3608C" w:rsidP="000F7896">
      <w:pPr>
        <w:rPr>
          <w:rFonts w:ascii="Verdana" w:hAnsi="Verdana"/>
        </w:rPr>
      </w:pPr>
      <w:r>
        <w:rPr>
          <w:sz w:val="28"/>
          <w:szCs w:val="28"/>
          <w:rFonts w:ascii="Verdana" w:hAnsi="Verdana"/>
        </w:rPr>
        <w:t xml:space="preserve">Lección 2.1 Pruebas digitales y electrónicas</w:t>
      </w:r>
      <w:r>
        <w:rPr>
          <w:color w:val="000000" w:themeColor="text1"/>
          <w:sz w:val="22"/>
          <w:szCs w:val="22"/>
          <w:rFonts w:ascii="Verdana" w:hAnsi="Verdana"/>
        </w:rPr>
        <w:t xml:space="preserve"> </w:t>
      </w:r>
    </w:p>
    <w:p w14:paraId="1D0E3DC5" w14:textId="77777777" w:rsidR="00C115FC" w:rsidRPr="00C115FC" w:rsidRDefault="00C115FC" w:rsidP="00C115FC">
      <w:pPr>
        <w:ind w:left="360"/>
        <w:rPr>
          <w:rFonts w:ascii="Verdana" w:hAnsi="Verdan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5320"/>
        <w:gridCol w:w="2165"/>
      </w:tblGrid>
      <w:tr w:rsidR="00C115FC" w:rsidRPr="00D82C18" w14:paraId="58A3485E" w14:textId="77777777" w:rsidTr="00F1574D">
        <w:trPr>
          <w:trHeight w:val="872"/>
        </w:trPr>
        <w:tc>
          <w:tcPr>
            <w:tcW w:w="6845" w:type="dxa"/>
            <w:gridSpan w:val="2"/>
            <w:shd w:val="clear" w:color="auto" w:fill="DEEAF6" w:themeFill="accent5" w:themeFillTint="33"/>
            <w:vAlign w:val="center"/>
          </w:tcPr>
          <w:p w14:paraId="0067FF35" w14:textId="10D33732" w:rsidR="00D82C18" w:rsidRPr="00D82C18" w:rsidRDefault="00C115FC" w:rsidP="00C115FC">
            <w:pPr>
              <w:rPr>
                <w:sz w:val="22"/>
                <w:szCs w:val="22"/>
                <w:rFonts w:ascii="Verdana" w:hAnsi="Verdana"/>
              </w:rPr>
            </w:pPr>
            <w:r>
              <w:rPr>
                <w:sz w:val="22"/>
                <w:szCs w:val="22"/>
                <w:rFonts w:ascii="Verdana" w:hAnsi="Verdana"/>
              </w:rPr>
              <w:t xml:space="preserve">Lección 2.1 Pruebas digitales y electrónicas</w:t>
            </w:r>
            <w:r>
              <w:rPr>
                <w:sz w:val="22"/>
                <w:szCs w:val="22"/>
                <w:color w:val="000000" w:themeColor="text1"/>
                <w:rFonts w:ascii="Verdana" w:hAnsi="Verdana"/>
              </w:rPr>
              <w:t xml:space="preserve"> </w:t>
            </w:r>
          </w:p>
        </w:tc>
        <w:tc>
          <w:tcPr>
            <w:tcW w:w="2165" w:type="dxa"/>
            <w:shd w:val="clear" w:color="auto" w:fill="DEEAF6" w:themeFill="accent5" w:themeFillTint="33"/>
            <w:vAlign w:val="center"/>
          </w:tcPr>
          <w:p w14:paraId="30B631DA" w14:textId="60D08834" w:rsidR="00D82C18" w:rsidRPr="00D82C18" w:rsidRDefault="00D82C18" w:rsidP="00C115FC">
            <w:pPr>
              <w:rPr>
                <w:sz w:val="22"/>
                <w:szCs w:val="22"/>
                <w:rFonts w:ascii="Verdana" w:hAnsi="Verdana"/>
              </w:rPr>
            </w:pPr>
            <w:r>
              <w:rPr>
                <w:sz w:val="22"/>
                <w:szCs w:val="22"/>
                <w:rFonts w:ascii="Verdana" w:hAnsi="Verdana"/>
              </w:rPr>
              <w:t xml:space="preserve">Duración:</w:t>
            </w:r>
            <w:r>
              <w:rPr>
                <w:sz w:val="22"/>
                <w:szCs w:val="22"/>
                <w:rFonts w:ascii="Verdana" w:hAnsi="Verdana"/>
              </w:rPr>
              <w:t xml:space="preserve"> </w:t>
            </w:r>
            <w:r>
              <w:rPr>
                <w:sz w:val="22"/>
                <w:szCs w:val="22"/>
                <w:color w:val="000000" w:themeColor="text1"/>
                <w:rFonts w:ascii="Verdana" w:hAnsi="Verdana"/>
              </w:rPr>
              <w:t xml:space="preserve">90 minutos</w:t>
            </w:r>
            <w:r>
              <w:rPr>
                <w:sz w:val="22"/>
                <w:szCs w:val="22"/>
                <w:color w:val="000000" w:themeColor="text1"/>
                <w:rFonts w:ascii="Verdana" w:hAnsi="Verdana"/>
              </w:rPr>
              <w:t xml:space="preserve"> </w:t>
            </w:r>
          </w:p>
        </w:tc>
      </w:tr>
      <w:tr w:rsidR="00E7344B" w:rsidRPr="00D82C18" w14:paraId="7C1107AB" w14:textId="77777777" w:rsidTr="00F1574D">
        <w:trPr>
          <w:trHeight w:val="5507"/>
        </w:trPr>
        <w:tc>
          <w:tcPr>
            <w:tcW w:w="9010" w:type="dxa"/>
            <w:gridSpan w:val="3"/>
            <w:vAlign w:val="center"/>
          </w:tcPr>
          <w:p w14:paraId="0B1C3404" w14:textId="53612A3F" w:rsidR="00E7344B" w:rsidRPr="000F7896" w:rsidRDefault="00E7344B" w:rsidP="000F7896">
            <w:pPr>
              <w:spacing w:after="120" w:line="280" w:lineRule="exact"/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Recursos necesarios:</w:t>
            </w:r>
            <w:r>
              <w:rPr>
                <w:b/>
                <w:sz w:val="22"/>
                <w:szCs w:val="22"/>
                <w:rFonts w:ascii="Verdana" w:hAnsi="Verdana"/>
              </w:rPr>
              <w:t xml:space="preserve"> </w:t>
            </w:r>
          </w:p>
          <w:p w14:paraId="060400D8" w14:textId="77777777" w:rsidR="000F7896" w:rsidRPr="000F7896" w:rsidRDefault="000F7896" w:rsidP="000F7896">
            <w:pPr>
              <w:pStyle w:val="bul1"/>
              <w:numPr>
                <w:ilvl w:val="0"/>
                <w:numId w:val="6"/>
              </w:numPr>
              <w:spacing w:line="280" w:lineRule="exact"/>
              <w:rPr>
                <w:rFonts w:ascii="Symbol" w:hAnsi="Symbol"/>
              </w:rPr>
            </w:pPr>
            <w:r>
              <w:t xml:space="preserve">PC/portátil cargado con versiones de software compatibles con los materiales preparados</w:t>
            </w:r>
            <w:r>
              <w:t xml:space="preserve"> </w:t>
            </w:r>
          </w:p>
          <w:p w14:paraId="62A10C2C" w14:textId="77777777" w:rsidR="000F7896" w:rsidRPr="000F7896" w:rsidRDefault="000F7896" w:rsidP="000F7896">
            <w:pPr>
              <w:pStyle w:val="bul1"/>
              <w:numPr>
                <w:ilvl w:val="0"/>
                <w:numId w:val="6"/>
              </w:numPr>
              <w:spacing w:line="280" w:lineRule="exact"/>
              <w:rPr>
                <w:rFonts w:ascii="Symbol" w:hAnsi="Symbol"/>
              </w:rPr>
            </w:pPr>
            <w:r>
              <w:t xml:space="preserve">Acceso a Internet (si está disponible)</w:t>
            </w:r>
            <w:r>
              <w:t xml:space="preserve"> </w:t>
            </w:r>
          </w:p>
          <w:p w14:paraId="575CEC8B" w14:textId="77777777" w:rsidR="000F7896" w:rsidRPr="000F7896" w:rsidRDefault="000F7896" w:rsidP="000F7896">
            <w:pPr>
              <w:pStyle w:val="bul1"/>
              <w:numPr>
                <w:ilvl w:val="0"/>
                <w:numId w:val="6"/>
              </w:numPr>
              <w:spacing w:line="280" w:lineRule="exact"/>
              <w:rPr>
                <w:rFonts w:ascii="Symbol" w:hAnsi="Symbol"/>
              </w:rPr>
            </w:pPr>
            <w:r>
              <w:t xml:space="preserve">PowerPoint u otra presentación</w:t>
            </w:r>
            <w:r>
              <w:t xml:space="preserve"> </w:t>
            </w:r>
          </w:p>
          <w:p w14:paraId="22EB744D" w14:textId="77777777" w:rsidR="000F7896" w:rsidRPr="000F7896" w:rsidRDefault="000F7896" w:rsidP="000F7896">
            <w:pPr>
              <w:pStyle w:val="bul1"/>
              <w:numPr>
                <w:ilvl w:val="0"/>
                <w:numId w:val="6"/>
              </w:numPr>
              <w:spacing w:line="280" w:lineRule="exact"/>
              <w:rPr>
                <w:rFonts w:ascii="Symbol" w:hAnsi="Symbol"/>
              </w:rPr>
            </w:pPr>
            <w:r>
              <w:t xml:space="preserve">Ejemplos de hardware informático (si están disponibles) *</w:t>
            </w:r>
          </w:p>
          <w:p w14:paraId="3DD985B7" w14:textId="77777777" w:rsidR="000F7896" w:rsidRPr="000F7896" w:rsidRDefault="000F7896" w:rsidP="000F7896">
            <w:pPr>
              <w:pStyle w:val="bul1"/>
              <w:numPr>
                <w:ilvl w:val="0"/>
                <w:numId w:val="6"/>
              </w:numPr>
              <w:spacing w:line="280" w:lineRule="exact"/>
              <w:rPr>
                <w:rFonts w:ascii="Symbol" w:hAnsi="Symbol"/>
              </w:rPr>
            </w:pPr>
            <w:r>
              <w:t xml:space="preserve">Copia de la Guía sobre pruebas electrónicas del Consejo de Europa</w:t>
            </w:r>
          </w:p>
          <w:p w14:paraId="305DD33C" w14:textId="42287D49" w:rsidR="000F7896" w:rsidRPr="000F7896" w:rsidRDefault="000F7896" w:rsidP="000F7896">
            <w:pPr>
              <w:pStyle w:val="bul1"/>
              <w:numPr>
                <w:ilvl w:val="0"/>
                <w:numId w:val="6"/>
              </w:numPr>
              <w:spacing w:line="280" w:lineRule="exact"/>
              <w:rPr>
                <w:rFonts w:ascii="Symbol" w:hAnsi="Symbol"/>
              </w:rPr>
            </w:pPr>
            <w:r>
              <w:t xml:space="preserve">Copia del material de lectura previa sobre pruebas electrónicas para este curso</w:t>
            </w:r>
          </w:p>
          <w:p w14:paraId="2BD33BD2" w14:textId="7B20B21C" w:rsidR="000F7896" w:rsidRPr="000F7896" w:rsidRDefault="000F7896" w:rsidP="000F7896">
            <w:pPr>
              <w:pStyle w:val="bul1"/>
              <w:numPr>
                <w:ilvl w:val="0"/>
                <w:numId w:val="6"/>
              </w:numPr>
              <w:spacing w:after="120" w:line="280" w:lineRule="exact"/>
              <w:rPr>
                <w:rFonts w:ascii="Symbol" w:hAnsi="Symbol"/>
              </w:rPr>
            </w:pPr>
            <w:r>
              <w:t xml:space="preserve">Copias impresas de los apéndices de la guía utilizados en esta sesión</w:t>
            </w:r>
          </w:p>
          <w:p w14:paraId="14CF9EF0" w14:textId="33C54C65" w:rsidR="000F7896" w:rsidRPr="000F7896" w:rsidRDefault="000F7896" w:rsidP="000F7896">
            <w:pPr>
              <w:pStyle w:val="bul1"/>
              <w:numPr>
                <w:ilvl w:val="0"/>
                <w:numId w:val="0"/>
              </w:numPr>
              <w:spacing w:before="120" w:line="280" w:lineRule="exact"/>
            </w:pPr>
            <w:r>
              <w:t xml:space="preserve">* Se recomienda que el formador disponga de varios equipos informáticos para utilizarlos en la siguiente sección.</w:t>
            </w:r>
            <w:r>
              <w:t xml:space="preserve"> </w:t>
            </w:r>
            <w:r>
              <w:t xml:space="preserve">Entre ellos deben figurar objetos que contengan pruebas y otros que no, como cargadores, cables, etc.  A continuación, puede entregarlos a los delegados y preguntarles si el equipo que tienen en sus manos puede contener o no pruebas electrónicas.</w:t>
            </w:r>
            <w:r>
              <w:t xml:space="preserve"> </w:t>
            </w:r>
            <w:r>
              <w:t xml:space="preserve">Es importante destacar durante la sesión que, además de las pruebas electrónicas, los objetos pueden contener pruebas tradicionales como huellas dactilares o ADN.</w:t>
            </w:r>
            <w:r>
              <w:t xml:space="preserve"> </w:t>
            </w:r>
            <w:r>
              <w:t xml:space="preserve">Las diapositivas, numeradas del 18 al 42, en las que se muestran y describen los dispositivos, servirán de ayuda al formador cuando no se disponga de dispositivos físicos para el curso.</w:t>
            </w:r>
            <w:r>
              <w:t xml:space="preserve"> </w:t>
            </w:r>
            <w:r>
              <w:t xml:space="preserve">El formador podrá prescindir de estas diapositivas cuando se utilicen dispositivos o utilizarlas como material de apoyo.</w:t>
            </w:r>
          </w:p>
        </w:tc>
      </w:tr>
      <w:tr w:rsidR="00E7344B" w:rsidRPr="00D82C18" w14:paraId="635F2EFD" w14:textId="77777777" w:rsidTr="00F1574D">
        <w:trPr>
          <w:trHeight w:val="2879"/>
        </w:trPr>
        <w:tc>
          <w:tcPr>
            <w:tcW w:w="9010" w:type="dxa"/>
            <w:gridSpan w:val="3"/>
            <w:vAlign w:val="center"/>
          </w:tcPr>
          <w:p w14:paraId="34602AF3" w14:textId="77777777" w:rsidR="00A03CF0" w:rsidRDefault="00A03CF0" w:rsidP="00F62A15">
            <w:pPr>
              <w:spacing w:before="120" w:after="120" w:line="280" w:lineRule="exact"/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Propósito de la sesión:</w:t>
            </w:r>
            <w:r>
              <w:rPr>
                <w:b/>
                <w:sz w:val="22"/>
                <w:szCs w:val="22"/>
                <w:rFonts w:ascii="Verdana" w:hAnsi="Verdana"/>
              </w:rPr>
              <w:t xml:space="preserve">  </w:t>
            </w:r>
          </w:p>
          <w:p w14:paraId="3FE58655" w14:textId="15578066" w:rsidR="00A03CF0" w:rsidRPr="000F7896" w:rsidRDefault="000F7896" w:rsidP="00CB3026">
            <w:pPr>
              <w:spacing w:before="120" w:after="120" w:line="280" w:lineRule="exact"/>
              <w:jc w:val="both"/>
              <w:rPr>
                <w:i/>
                <w:color w:val="FF0000"/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propósito de esta sesión es proporcionar a los jueces y fiscales el conocimiento de las cuestiones relacionadas con las pruebas electrónicas, como los distintos tipos que pueden encontrar, cómo se recuperan y manejan durante las investigaciones y cómo se producen para los juicios penales.</w:t>
            </w:r>
            <w:r>
              <w:rPr>
                <w:sz w:val="18"/>
                <w:szCs w:val="18"/>
                <w:rFonts w:ascii="Verdana" w:hAnsi="Verdana"/>
              </w:rPr>
              <w:t xml:space="preserve">   </w:t>
            </w:r>
            <w:r>
              <w:rPr>
                <w:sz w:val="18"/>
                <w:szCs w:val="18"/>
                <w:rFonts w:ascii="Verdana" w:hAnsi="Verdana"/>
              </w:rPr>
              <w:t xml:space="preserve">También se proporciona información adicional sobre los desafíos que supone la recuperación de este tipo de pruebas en otras jurisdicciones.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Además, la transición de las pruebas electrónicas desde su confiscación hasta su examen y presentación se analiza en la breve sesión en la que se describe la ciencia forense digital.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El nivel de conocimiento detallado requerido por los delegados puede variar, dependiendo del ordenamiento jurídico del país y del grado de participación de los delegados en la fase de investigación.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</w:p>
        </w:tc>
      </w:tr>
      <w:tr w:rsidR="00A03CF0" w:rsidRPr="00D82C18" w14:paraId="1B5A80A7" w14:textId="77777777" w:rsidTr="001E7389">
        <w:trPr>
          <w:trHeight w:val="983"/>
        </w:trPr>
        <w:tc>
          <w:tcPr>
            <w:tcW w:w="9010" w:type="dxa"/>
            <w:gridSpan w:val="3"/>
            <w:vAlign w:val="center"/>
          </w:tcPr>
          <w:p w14:paraId="559A7E05" w14:textId="77777777" w:rsidR="00A03CF0" w:rsidRPr="00271010" w:rsidRDefault="00271010" w:rsidP="00F62A15">
            <w:pPr>
              <w:spacing w:before="120" w:after="120" w:line="280" w:lineRule="exact"/>
              <w:contextualSpacing/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Objetivos:</w:t>
            </w:r>
          </w:p>
          <w:p w14:paraId="7552C5F6" w14:textId="77777777" w:rsidR="000F7896" w:rsidRPr="005F4901" w:rsidRDefault="000F7896" w:rsidP="000F7896">
            <w:pPr>
              <w:tabs>
                <w:tab w:val="left" w:pos="426"/>
                <w:tab w:val="left" w:pos="851"/>
              </w:tabs>
              <w:rPr>
                <w:rFonts w:eastAsia="Times New Roman" w:cs="Times New Roman"/>
              </w:rPr>
            </w:pPr>
            <w:r>
              <w:t xml:space="preserve">Al final de esta sesión los delegados podrán:</w:t>
            </w:r>
          </w:p>
          <w:p w14:paraId="3EC6D5AB" w14:textId="77777777" w:rsidR="006B0B52" w:rsidRPr="006B0B52" w:rsidRDefault="006B0B52" w:rsidP="006B0B52">
            <w:pPr>
              <w:pStyle w:val="bul1"/>
            </w:pPr>
            <w:r>
              <w:t xml:space="preserve">Debatir los distintos tipos de pruebas electrónicas</w:t>
            </w:r>
          </w:p>
          <w:p w14:paraId="6CFFCC92" w14:textId="77777777" w:rsidR="006B0B52" w:rsidRPr="006B0B52" w:rsidRDefault="006B0B52" w:rsidP="006B0B52">
            <w:pPr>
              <w:pStyle w:val="bul1"/>
            </w:pPr>
            <w:r>
              <w:t xml:space="preserve">Resumir los puntos clave de la Guía sobre pruebas electrónicas del CE, especialmente los principios de confiscación y manejo</w:t>
            </w:r>
          </w:p>
          <w:p w14:paraId="2C57F9DF" w14:textId="77777777" w:rsidR="006B0B52" w:rsidRPr="006B0B52" w:rsidRDefault="006B0B52" w:rsidP="006B0B52">
            <w:pPr>
              <w:pStyle w:val="bul1"/>
            </w:pPr>
            <w:r>
              <w:t xml:space="preserve">Identificar los diferentes desafíos de la ciencia forense "post-mortem" y de "datos en vivo", así como los "datos basados en la nube".</w:t>
            </w:r>
          </w:p>
          <w:p w14:paraId="4619AB2A" w14:textId="77777777" w:rsidR="006B0B52" w:rsidRPr="006B0B52" w:rsidRDefault="006B0B52" w:rsidP="006B0B52">
            <w:pPr>
              <w:pStyle w:val="bul1"/>
            </w:pPr>
            <w:r>
              <w:t xml:space="preserve">Debatir la admisibilidad de las pruebas electrónicas</w:t>
            </w:r>
          </w:p>
          <w:p w14:paraId="61C84B37" w14:textId="77777777" w:rsidR="006B0B52" w:rsidRPr="006B0B52" w:rsidRDefault="006B0B52" w:rsidP="006B0B52">
            <w:pPr>
              <w:pStyle w:val="bul1"/>
            </w:pPr>
            <w:r>
              <w:t xml:space="preserve">Comparar la "ciencia forense digital" con la ciencia forense tradicional</w:t>
            </w:r>
          </w:p>
          <w:p w14:paraId="2F413EEE" w14:textId="77777777" w:rsidR="003453F7" w:rsidRDefault="006B0B52" w:rsidP="001E7389">
            <w:pPr>
              <w:pStyle w:val="bul1"/>
            </w:pPr>
            <w:r>
              <w:t xml:space="preserve">Identificar las cuatro etapas clave de un examen forense digital</w:t>
            </w:r>
          </w:p>
          <w:p w14:paraId="61ABEAC5" w14:textId="51B531B8" w:rsidR="001E7389" w:rsidRPr="001E7389" w:rsidRDefault="001E7389" w:rsidP="001E7389">
            <w:pPr>
              <w:pStyle w:val="bul1"/>
              <w:numPr>
                <w:ilvl w:val="0"/>
                <w:numId w:val="0"/>
              </w:numPr>
            </w:pPr>
          </w:p>
        </w:tc>
      </w:tr>
      <w:tr w:rsidR="005703B7" w:rsidRPr="00D82C18" w14:paraId="03110757" w14:textId="77777777" w:rsidTr="00F1574D">
        <w:trPr>
          <w:trHeight w:val="8522"/>
        </w:trPr>
        <w:tc>
          <w:tcPr>
            <w:tcW w:w="9010" w:type="dxa"/>
            <w:gridSpan w:val="3"/>
            <w:tcBorders>
              <w:bottom w:val="single" w:sz="4" w:space="0" w:color="auto"/>
            </w:tcBorders>
            <w:vAlign w:val="center"/>
          </w:tcPr>
          <w:p w14:paraId="7A064E85" w14:textId="77777777" w:rsidR="005703B7" w:rsidRPr="002F3B54" w:rsidRDefault="00E95703" w:rsidP="00F62A15">
            <w:pPr>
              <w:spacing w:before="120" w:after="120" w:line="280" w:lineRule="exact"/>
              <w:rPr>
                <w:b/>
                <w:color w:val="000000" w:themeColor="text1"/>
                <w:sz w:val="22"/>
                <w:szCs w:val="22"/>
                <w:rFonts w:ascii="Verdana" w:hAnsi="Verdana"/>
              </w:rPr>
            </w:pPr>
            <w:r>
              <w:rPr>
                <w:b/>
                <w:color w:val="000000" w:themeColor="text1"/>
                <w:sz w:val="22"/>
                <w:szCs w:val="22"/>
                <w:rFonts w:ascii="Verdana" w:hAnsi="Verdana"/>
              </w:rPr>
              <w:t xml:space="preserve">Pautas para los formadores</w:t>
            </w:r>
          </w:p>
          <w:p w14:paraId="721F25C2" w14:textId="025D9409" w:rsidR="002F3B54" w:rsidRPr="009F336B" w:rsidRDefault="00951791" w:rsidP="00F62A15">
            <w:pPr>
              <w:spacing w:before="120" w:after="120" w:line="280" w:lineRule="exact"/>
              <w:jc w:val="both"/>
              <w:rPr>
                <w:color w:val="000000" w:themeColor="text1"/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La sesión sobre las pruebas electrónicas se ha reducido en esta versión del curso y se ha elaborado material de lectura previa para que los delegados la tengan en cuenta antes del curso.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El formador puede considerar la posibilidad de realizar un breve control de conocimientos al principio de la sesión para comprobar que se ha aprovechado el material de lectura previa.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  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Esto podría hacerse en forma de cuestionario.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En el material de lectura previa se muestra a los delegados las diferentes formas de dispositivos que pueden contener pruebas electrónicas.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El formador también puede considerar la posibilidad de utilizar diversos dispositivos electrónicos, algunos de los cuales pueden contener pruebas electrónicas.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Se pueden distribuir entre los delegados al principio de la sesión para evaluar hasta qué punto se ha asimilado la información del material de lectura previa.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Al igual que en las demás sesiones, las notas de las diapositivas contienen información adicional para ayudar al formador.</w:t>
            </w:r>
          </w:p>
          <w:p w14:paraId="4B719C41" w14:textId="4D2AEA2A" w:rsidR="004B7351" w:rsidRPr="009F336B" w:rsidRDefault="003A435F" w:rsidP="00F62A15">
            <w:pPr>
              <w:spacing w:before="120" w:after="120" w:line="280" w:lineRule="exact"/>
              <w:jc w:val="both"/>
              <w:rPr>
                <w:color w:val="000000" w:themeColor="text1"/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Las diapositivas que forman parte del material de lectura previa se han dejado en el mazo para el formador, para que las utilice como refuerzo de la información o para que las muestre mientras responde a las preguntas.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  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No están concebidas para utilizarse como material didáctico durante la clase.</w:t>
            </w:r>
          </w:p>
          <w:p w14:paraId="5EFF4BEF" w14:textId="05E29A34" w:rsidR="004B7351" w:rsidRPr="00E95703" w:rsidRDefault="004B7351" w:rsidP="00AA5742">
            <w:pPr>
              <w:spacing w:before="120" w:after="120" w:line="280" w:lineRule="exact"/>
              <w:jc w:val="both"/>
              <w:rPr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La lección contiene información sobre el registro y confiscación de pruebas electrónicas.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Esto abarca desde la preparación y la planificación hasta el equipo que se debe llevar y la confiscación real, así como las consideraciones asociadas.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   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Ello será más o menos interesante según el ordenamiento jurídico de los países de los delegados.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En las jurisdicciones de derecho consuetudinario, los jueces no intervienen en la investigación ni en las actividades asociadas a ella, como el registro y la confiscación.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Sin embargo, tendrán que entender las pruebas cuando se presenten ante ellos, por lo que puede ser conveniente ofrecer una visión general de las cuestiones.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  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En otras jurisdicciones, es posible que el juez tenga un papel en la investigación y que los fiscales sean jurídicamente responsables de esta.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En estos casos, la cuestión del registro y la confiscación.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Cada formador deberá determinar el puesto que ocupan los delegados y adaptar el material de formación en consecuencia.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  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El formador debe tener en cuenta el tiempo general del que dispone a la hora de decidir el énfasis que va a poner en los materiales, recordando el contexto general de los objetivos de la enseñanza, que son la base de la lección.</w:t>
            </w:r>
          </w:p>
        </w:tc>
      </w:tr>
      <w:tr w:rsidR="005A4E47" w:rsidRPr="00D82C18" w14:paraId="7760520D" w14:textId="77777777" w:rsidTr="00F1574D">
        <w:trPr>
          <w:trHeight w:val="728"/>
        </w:trPr>
        <w:tc>
          <w:tcPr>
            <w:tcW w:w="9010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F533D38" w14:textId="77777777" w:rsidR="005A4E47" w:rsidRPr="00CB3026" w:rsidRDefault="005A4E47" w:rsidP="00CB3026">
            <w:pPr>
              <w:rPr>
                <w:b/>
                <w:sz w:val="28"/>
                <w:szCs w:val="28"/>
                <w:rFonts w:ascii="Verdana" w:hAnsi="Verdana"/>
              </w:rPr>
            </w:pPr>
            <w:r>
              <w:rPr>
                <w:b/>
                <w:sz w:val="28"/>
                <w:szCs w:val="28"/>
                <w:rFonts w:ascii="Verdana" w:hAnsi="Verdana"/>
              </w:rPr>
              <w:t xml:space="preserve">Contenido de la lección</w:t>
            </w:r>
          </w:p>
        </w:tc>
      </w:tr>
      <w:tr w:rsidR="00F1574D" w:rsidRPr="00D82C18" w14:paraId="57CC7AA4" w14:textId="77777777" w:rsidTr="00F1574D">
        <w:trPr>
          <w:trHeight w:val="629"/>
        </w:trPr>
        <w:tc>
          <w:tcPr>
            <w:tcW w:w="1525" w:type="dxa"/>
            <w:shd w:val="clear" w:color="auto" w:fill="D9E2F3" w:themeFill="accent1" w:themeFillTint="33"/>
            <w:vAlign w:val="center"/>
          </w:tcPr>
          <w:p w14:paraId="4538C338" w14:textId="77777777" w:rsidR="00D82C18" w:rsidRPr="00E13BE7" w:rsidRDefault="00E13BE7" w:rsidP="00CB3026">
            <w:pPr>
              <w:jc w:val="center"/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Números de las diapositivas</w:t>
            </w:r>
          </w:p>
        </w:tc>
        <w:tc>
          <w:tcPr>
            <w:tcW w:w="7485" w:type="dxa"/>
            <w:gridSpan w:val="2"/>
            <w:shd w:val="clear" w:color="auto" w:fill="D9E2F3" w:themeFill="accent1" w:themeFillTint="33"/>
            <w:vAlign w:val="center"/>
          </w:tcPr>
          <w:p w14:paraId="2DA616FC" w14:textId="77777777" w:rsidR="00D82C18" w:rsidRPr="00E13BE7" w:rsidRDefault="00E13BE7">
            <w:pPr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Contenido</w:t>
            </w:r>
          </w:p>
        </w:tc>
      </w:tr>
      <w:tr w:rsidR="00F1574D" w:rsidRPr="00D82C18" w14:paraId="11A12D7E" w14:textId="77777777" w:rsidTr="00F1574D">
        <w:trPr>
          <w:trHeight w:val="3455"/>
        </w:trPr>
        <w:tc>
          <w:tcPr>
            <w:tcW w:w="1525" w:type="dxa"/>
            <w:vAlign w:val="center"/>
          </w:tcPr>
          <w:p w14:paraId="67083237" w14:textId="207A1282" w:rsidR="00D82C18" w:rsidRDefault="003630ED" w:rsidP="00F1574D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1 a 4</w:t>
            </w:r>
          </w:p>
          <w:p w14:paraId="5A89CF27" w14:textId="6863FBB0" w:rsidR="00F1574D" w:rsidRPr="00F62A15" w:rsidRDefault="00F1574D" w:rsidP="00F1574D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Diapositivas obligatorias</w:t>
            </w:r>
          </w:p>
        </w:tc>
        <w:tc>
          <w:tcPr>
            <w:tcW w:w="7485" w:type="dxa"/>
            <w:gridSpan w:val="2"/>
            <w:vAlign w:val="center"/>
          </w:tcPr>
          <w:p w14:paraId="36345B59" w14:textId="36D4842B" w:rsidR="00556D69" w:rsidRPr="00C70C5C" w:rsidRDefault="00556D69" w:rsidP="00314D32">
            <w:pPr>
              <w:spacing w:before="120" w:after="120" w:line="360" w:lineRule="auto"/>
              <w:jc w:val="both"/>
              <w:rPr>
                <w:color w:val="000000" w:themeColor="text1"/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Las diapositivas de apertura sirven de introducción a la sesión e incluyen el programa, así como los objetivos de la sesión.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  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El formador deberá asegurarse de que se modifican cuando se haya decidido excluir conjuntos de diapositivas.</w:t>
            </w:r>
          </w:p>
        </w:tc>
      </w:tr>
      <w:tr w:rsidR="00F1574D" w:rsidRPr="00D82C18" w14:paraId="65F07CB5" w14:textId="77777777" w:rsidTr="00F1574D">
        <w:trPr>
          <w:trHeight w:val="1880"/>
        </w:trPr>
        <w:tc>
          <w:tcPr>
            <w:tcW w:w="1525" w:type="dxa"/>
            <w:vAlign w:val="center"/>
          </w:tcPr>
          <w:p w14:paraId="56AF6365" w14:textId="5DE1814A" w:rsidR="00D82C18" w:rsidRDefault="00C70C5C" w:rsidP="00F1574D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5 a 17</w:t>
            </w:r>
          </w:p>
          <w:p w14:paraId="6F5AEB2D" w14:textId="0711BC77" w:rsidR="00F1574D" w:rsidRPr="003630ED" w:rsidRDefault="00F1574D" w:rsidP="00F1574D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Diapositivas importantes</w:t>
            </w:r>
          </w:p>
        </w:tc>
        <w:tc>
          <w:tcPr>
            <w:tcW w:w="7485" w:type="dxa"/>
            <w:gridSpan w:val="2"/>
            <w:vAlign w:val="center"/>
          </w:tcPr>
          <w:p w14:paraId="40B6E939" w14:textId="680659C2" w:rsidR="00C70C5C" w:rsidRDefault="00556D69" w:rsidP="00314D32">
            <w:pPr>
              <w:pStyle w:val="Subtitle"/>
              <w:spacing w:line="360" w:lineRule="auto"/>
              <w:rPr>
                <w:rFonts w:ascii="Verdana" w:eastAsia="Times New Roman" w:hAnsi="Verdana"/>
              </w:rPr>
            </w:pPr>
            <w:r>
              <w:rPr>
                <w:rFonts w:ascii="Verdana" w:hAnsi="Verdana"/>
              </w:rPr>
              <w:t xml:space="preserve">En estas diapositivas se exponen las definiciones de prueba y de prueba electrónica.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 xml:space="preserve">Hasta cierto punto, esto es también un repaso de la información del material de lectura previa.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 xml:space="preserve">También se tratan algunas características básicas de los datos, y por qué varía tanto su tratamiento.</w:t>
            </w:r>
          </w:p>
          <w:p w14:paraId="1055D164" w14:textId="441E0726" w:rsidR="00556D69" w:rsidRDefault="00C70C5C" w:rsidP="00314D32">
            <w:pPr>
              <w:pStyle w:val="Subtitle"/>
              <w:spacing w:line="360" w:lineRule="auto"/>
              <w:rPr>
                <w:rFonts w:ascii="Verdana" w:eastAsia="Times New Roman" w:hAnsi="Verdana"/>
              </w:rPr>
            </w:pPr>
            <w:r>
              <w:rPr>
                <w:szCs w:val="18"/>
                <w:rFonts w:ascii="Verdana" w:hAnsi="Verdana"/>
              </w:rPr>
              <w:t xml:space="preserve">La diapositiva 6 sirve para iniciar el debate con los delegados.</w:t>
            </w:r>
            <w:r>
              <w:rPr>
                <w:szCs w:val="18"/>
                <w:rFonts w:ascii="Verdana" w:hAnsi="Verdana"/>
              </w:rPr>
              <w:t xml:space="preserve"> </w:t>
            </w:r>
            <w:r>
              <w:rPr>
                <w:szCs w:val="18"/>
                <w:rFonts w:ascii="Verdana" w:hAnsi="Verdana"/>
              </w:rPr>
              <w:t xml:space="preserve">El formador debe iniciar un debate con el grupo identificando los tipos de pruebas electrónicas y animando a los participantes a dar detalles sobre su conocimiento del tema.</w:t>
            </w:r>
            <w:r>
              <w:rPr>
                <w:szCs w:val="18"/>
                <w:rFonts w:ascii="Verdana" w:hAnsi="Verdana"/>
              </w:rPr>
              <w:t xml:space="preserve">  </w:t>
            </w:r>
            <w:r>
              <w:rPr>
                <w:szCs w:val="18"/>
                <w:rFonts w:ascii="Verdana" w:hAnsi="Verdana"/>
              </w:rPr>
              <w:t xml:space="preserve">A continuación, el formador deberá enumerar los tipos destacados en un rotafolio o pizarra.</w:t>
            </w:r>
            <w:r>
              <w:rPr>
                <w:szCs w:val="18"/>
                <w:rFonts w:ascii="Verdana" w:hAnsi="Verdana"/>
              </w:rPr>
              <w:t xml:space="preserve">  </w:t>
            </w:r>
            <w:r>
              <w:rPr>
                <w:szCs w:val="18"/>
                <w:rFonts w:ascii="Verdana" w:hAnsi="Verdana"/>
              </w:rPr>
              <w:t xml:space="preserve">El formador debe completar la lista si la audiencia no distingue los tipos de pruebas.</w:t>
            </w:r>
            <w:r>
              <w:rPr>
                <w:szCs w:val="18"/>
                <w:rFonts w:ascii="Verdana" w:hAnsi="Verdana"/>
              </w:rPr>
              <w:t xml:space="preserve">  </w:t>
            </w:r>
            <w:r>
              <w:rPr>
                <w:szCs w:val="18"/>
                <w:rFonts w:ascii="Verdana" w:hAnsi="Verdana"/>
              </w:rPr>
              <w:t xml:space="preserve">La lista debe incluir tanto los tipos de pruebas, por ejemplo, post-mortem, datos en vivo, memoria, Internet, como las fuentes de pruebas, como las que se tratan en la sección del curso dedicada a la tecnología.</w:t>
            </w:r>
            <w:r>
              <w:rPr>
                <w:rFonts w:ascii="Verdana" w:hAnsi="Verdana"/>
              </w:rPr>
              <w:t xml:space="preserve"> </w:t>
            </w:r>
          </w:p>
          <w:p w14:paraId="649FEA68" w14:textId="474EB621" w:rsidR="00CB3026" w:rsidRPr="00CB3026" w:rsidRDefault="00556D69" w:rsidP="00314D32">
            <w:pPr>
              <w:pStyle w:val="Subtitle"/>
              <w:spacing w:line="360" w:lineRule="auto"/>
              <w:rPr>
                <w:rFonts w:ascii="Verdana" w:eastAsia="Times New Roman" w:hAnsi="Verdana"/>
              </w:rPr>
            </w:pPr>
            <w:r>
              <w:rPr>
                <w:rFonts w:ascii="Verdana" w:hAnsi="Verdana"/>
              </w:rPr>
              <w:t xml:space="preserve">El formador debe preparar el curso comprobando si existen definiciones nacionales en la jurisdicción en la que se imparte la formación y, en caso afirmativo, incluir esta información en la presentación.</w:t>
            </w:r>
          </w:p>
        </w:tc>
      </w:tr>
      <w:tr w:rsidR="00F1574D" w:rsidRPr="00D82C18" w14:paraId="15587DD6" w14:textId="77777777" w:rsidTr="00F1574D">
        <w:trPr>
          <w:trHeight w:val="1916"/>
        </w:trPr>
        <w:tc>
          <w:tcPr>
            <w:tcW w:w="1525" w:type="dxa"/>
            <w:vAlign w:val="center"/>
          </w:tcPr>
          <w:p w14:paraId="5EBB803A" w14:textId="5186DA2B" w:rsidR="00556D69" w:rsidRDefault="00FE45CA" w:rsidP="00F1574D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18 a 27</w:t>
            </w:r>
          </w:p>
          <w:p w14:paraId="65C32028" w14:textId="76B09D03" w:rsidR="00F1574D" w:rsidRDefault="00C70C5C" w:rsidP="00F1574D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Diapositivas obligatorias</w:t>
            </w:r>
          </w:p>
        </w:tc>
        <w:tc>
          <w:tcPr>
            <w:tcW w:w="7485" w:type="dxa"/>
            <w:gridSpan w:val="2"/>
            <w:vAlign w:val="center"/>
          </w:tcPr>
          <w:p w14:paraId="42BED268" w14:textId="77777777" w:rsidR="00C70C5C" w:rsidRDefault="00C70C5C" w:rsidP="00314D32">
            <w:pPr>
              <w:pStyle w:val="Subtitle"/>
              <w:spacing w:line="360" w:lineRule="auto"/>
              <w:rPr>
                <w:rFonts w:ascii="Verdana" w:eastAsia="Times New Roman" w:hAnsi="Verdana"/>
              </w:rPr>
            </w:pPr>
            <w:r>
              <w:rPr>
                <w:rFonts w:ascii="Verdana" w:hAnsi="Verdana"/>
              </w:rPr>
              <w:t xml:space="preserve">En las siguientes diapositivas se analiza la Guía sobre pruebas electrónicas del CE, que es un aspecto importante de la formación.</w:t>
            </w:r>
          </w:p>
          <w:p w14:paraId="748BE008" w14:textId="7E010C74" w:rsidR="00C70C5C" w:rsidRDefault="00C70C5C" w:rsidP="00314D32">
            <w:pPr>
              <w:spacing w:line="360" w:lineRule="auto"/>
              <w:rPr>
                <w:iCs/>
                <w:color w:val="000000" w:themeColor="text1"/>
                <w:sz w:val="18"/>
                <w:rFonts w:ascii="Verdana" w:eastAsia="Times New Roman" w:hAnsi="Verdana" w:cstheme="majorBidi"/>
              </w:rPr>
            </w:pPr>
            <w:r>
              <w:rPr>
                <w:iCs/>
                <w:color w:val="000000" w:themeColor="text1"/>
                <w:sz w:val="18"/>
                <w:rFonts w:ascii="Verdana" w:hAnsi="Verdana"/>
              </w:rPr>
              <w:t xml:space="preserve">En estas diapositivas se analizan los antecedentes de las pruebas electrónicas y los motivos por los que surgió la guía.</w:t>
            </w:r>
            <w:r>
              <w:rPr>
                <w:iCs/>
                <w:color w:val="000000" w:themeColor="text1"/>
                <w:sz w:val="18"/>
                <w:rFonts w:ascii="Verdana" w:hAnsi="Verdana"/>
              </w:rPr>
              <w:t xml:space="preserve"> </w:t>
            </w:r>
            <w:r>
              <w:rPr>
                <w:iCs/>
                <w:color w:val="000000" w:themeColor="text1"/>
                <w:sz w:val="18"/>
                <w:rFonts w:ascii="Verdana" w:hAnsi="Verdana"/>
              </w:rPr>
              <w:t xml:space="preserve">También se considera a quién va dirigida la guía y quién debe utilizarla, y cómo.</w:t>
            </w:r>
          </w:p>
          <w:p w14:paraId="0947AE03" w14:textId="77777777" w:rsidR="00C70C5C" w:rsidRDefault="00C70C5C" w:rsidP="00314D32">
            <w:pPr>
              <w:spacing w:line="360" w:lineRule="auto"/>
              <w:rPr>
                <w:rFonts w:ascii="Verdana" w:eastAsia="Times New Roman" w:hAnsi="Verdana" w:cstheme="majorBidi"/>
                <w:iCs/>
                <w:color w:val="000000" w:themeColor="text1"/>
                <w:sz w:val="18"/>
              </w:rPr>
            </w:pPr>
          </w:p>
          <w:p w14:paraId="09B58FC0" w14:textId="3BB7EE60" w:rsidR="00C70C5C" w:rsidRPr="00C70C5C" w:rsidRDefault="00C70C5C" w:rsidP="00314D32">
            <w:pPr>
              <w:spacing w:line="360" w:lineRule="auto"/>
            </w:pPr>
            <w:r>
              <w:rPr>
                <w:iCs/>
                <w:color w:val="000000" w:themeColor="text1"/>
                <w:sz w:val="18"/>
                <w:rFonts w:ascii="Verdana" w:hAnsi="Verdana"/>
              </w:rPr>
              <w:t xml:space="preserve">Se introducen los principios de las pruebas electrónicas</w:t>
            </w:r>
          </w:p>
        </w:tc>
      </w:tr>
      <w:tr w:rsidR="00F1574D" w:rsidRPr="00D82C18" w14:paraId="4F010995" w14:textId="77777777" w:rsidTr="00F1574D">
        <w:trPr>
          <w:trHeight w:val="791"/>
        </w:trPr>
        <w:tc>
          <w:tcPr>
            <w:tcW w:w="1525" w:type="dxa"/>
            <w:vAlign w:val="center"/>
          </w:tcPr>
          <w:p w14:paraId="15E808BA" w14:textId="440B2709" w:rsidR="00556D69" w:rsidRDefault="00C70C5C" w:rsidP="00F1574D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28 a 34</w:t>
            </w:r>
          </w:p>
          <w:p w14:paraId="48504862" w14:textId="307D4B02" w:rsidR="00C70C5C" w:rsidRDefault="00C70C5C" w:rsidP="00F1574D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Diapositivas obligatorias</w:t>
            </w:r>
          </w:p>
        </w:tc>
        <w:tc>
          <w:tcPr>
            <w:tcW w:w="7485" w:type="dxa"/>
            <w:gridSpan w:val="2"/>
            <w:vAlign w:val="center"/>
          </w:tcPr>
          <w:p w14:paraId="5C35E995" w14:textId="77777777" w:rsidR="00450007" w:rsidRDefault="00C70C5C" w:rsidP="00314D32">
            <w:pPr>
              <w:pStyle w:val="Subtitle"/>
              <w:spacing w:line="360" w:lineRule="auto"/>
              <w:rPr>
                <w:rFonts w:ascii="Verdana" w:eastAsia="Times New Roman" w:hAnsi="Verdana"/>
              </w:rPr>
            </w:pPr>
            <w:r>
              <w:rPr>
                <w:rFonts w:ascii="Verdana" w:hAnsi="Verdana"/>
              </w:rPr>
              <w:t xml:space="preserve">En estas diapositivas se examinan los cinco principios de las pruebas electrónicas y el formador puede trabajar con ellos explicando su finalidad.</w:t>
            </w:r>
          </w:p>
          <w:p w14:paraId="4AF5B3D7" w14:textId="2D3F5DDF" w:rsidR="00C70C5C" w:rsidRPr="00C70C5C" w:rsidRDefault="00C70C5C" w:rsidP="00314D32">
            <w:pPr>
              <w:spacing w:line="360" w:lineRule="auto"/>
              <w:rPr>
                <w:iCs/>
                <w:color w:val="000000" w:themeColor="text1"/>
                <w:sz w:val="18"/>
                <w:rFonts w:ascii="Verdana" w:eastAsia="Times New Roman" w:hAnsi="Verdana" w:cstheme="majorBidi"/>
              </w:rPr>
            </w:pPr>
            <w:r>
              <w:rPr>
                <w:iCs/>
                <w:color w:val="000000" w:themeColor="text1"/>
                <w:sz w:val="18"/>
                <w:rFonts w:ascii="Verdana" w:hAnsi="Verdana"/>
              </w:rPr>
              <w:t xml:space="preserve">Los principios deberían suscitar el debate y la formulación de preguntas.</w:t>
            </w:r>
            <w:r>
              <w:rPr>
                <w:iCs/>
                <w:color w:val="000000" w:themeColor="text1"/>
                <w:sz w:val="18"/>
                <w:rFonts w:ascii="Verdana" w:hAnsi="Verdana"/>
              </w:rPr>
              <w:t xml:space="preserve"> </w:t>
            </w:r>
            <w:r>
              <w:rPr>
                <w:iCs/>
                <w:color w:val="000000" w:themeColor="text1"/>
                <w:sz w:val="18"/>
                <w:rFonts w:ascii="Verdana" w:hAnsi="Verdana"/>
              </w:rPr>
              <w:t xml:space="preserve">Si no es así, el formador puede pedir que los delegados respondan a las preguntas que desee plantear</w:t>
            </w:r>
          </w:p>
        </w:tc>
      </w:tr>
      <w:tr w:rsidR="00F1574D" w:rsidRPr="00D82C18" w14:paraId="3C4A313A" w14:textId="77777777" w:rsidTr="00F1574D">
        <w:trPr>
          <w:trHeight w:val="890"/>
        </w:trPr>
        <w:tc>
          <w:tcPr>
            <w:tcW w:w="1525" w:type="dxa"/>
            <w:vAlign w:val="center"/>
          </w:tcPr>
          <w:p w14:paraId="1D843CBC" w14:textId="07A00413" w:rsidR="00556D69" w:rsidRDefault="00C70C5C" w:rsidP="00F1574D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35 a 61</w:t>
            </w:r>
          </w:p>
          <w:p w14:paraId="00098EC4" w14:textId="009BEBF1" w:rsidR="00F1574D" w:rsidRPr="003F6587" w:rsidRDefault="00F1574D" w:rsidP="00F1574D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Diapositivas obligatorias</w:t>
            </w:r>
          </w:p>
        </w:tc>
        <w:tc>
          <w:tcPr>
            <w:tcW w:w="7485" w:type="dxa"/>
            <w:gridSpan w:val="2"/>
            <w:vAlign w:val="center"/>
          </w:tcPr>
          <w:p w14:paraId="09B693A1" w14:textId="2F94954D" w:rsidR="00556D69" w:rsidRPr="006527C6" w:rsidRDefault="003F6587" w:rsidP="00314D32">
            <w:pPr>
              <w:spacing w:after="120" w:line="360" w:lineRule="auto"/>
              <w:jc w:val="both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En estas diapositivas se trata el lugar de comisión del delito electrónico y cómo procederse al respecto.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Hay secciones dedicadas a la preparación, a la recopilación de información y, por último, a la visita al lugar del delito y a las medidas que deben adoptarse al respecto.</w:t>
            </w:r>
          </w:p>
        </w:tc>
      </w:tr>
      <w:tr w:rsidR="00F1574D" w:rsidRPr="00D82C18" w14:paraId="0425CAAD" w14:textId="77777777" w:rsidTr="00F1574D">
        <w:trPr>
          <w:trHeight w:val="1295"/>
        </w:trPr>
        <w:tc>
          <w:tcPr>
            <w:tcW w:w="1525" w:type="dxa"/>
            <w:vAlign w:val="center"/>
          </w:tcPr>
          <w:p w14:paraId="78B73F89" w14:textId="2119F99A" w:rsidR="00556D69" w:rsidRDefault="00E77721" w:rsidP="00F1574D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62 a 78</w:t>
            </w:r>
          </w:p>
          <w:p w14:paraId="054F45E0" w14:textId="6503198C" w:rsidR="00F1574D" w:rsidRPr="003F6587" w:rsidRDefault="00314D32" w:rsidP="00F1574D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Diapositivas importantes</w:t>
            </w:r>
          </w:p>
        </w:tc>
        <w:tc>
          <w:tcPr>
            <w:tcW w:w="7485" w:type="dxa"/>
            <w:gridSpan w:val="2"/>
            <w:vAlign w:val="center"/>
          </w:tcPr>
          <w:p w14:paraId="42541BA8" w14:textId="77777777" w:rsidR="00314D32" w:rsidRDefault="006527C6" w:rsidP="00314D32">
            <w:pPr>
              <w:pStyle w:val="Subtitle"/>
              <w:spacing w:line="360" w:lineRule="auto"/>
              <w:rPr>
                <w:szCs w:val="18"/>
                <w:rFonts w:ascii="Verdana" w:hAnsi="Verdana"/>
              </w:rPr>
            </w:pPr>
            <w:r>
              <w:rPr>
                <w:szCs w:val="18"/>
                <w:rFonts w:ascii="Verdana" w:hAnsi="Verdana"/>
              </w:rPr>
              <w:t xml:space="preserve">En esta sección se tratan las pruebas electrónicas.</w:t>
            </w:r>
            <w:r>
              <w:rPr>
                <w:szCs w:val="18"/>
                <w:rFonts w:ascii="Verdana" w:hAnsi="Verdana"/>
              </w:rPr>
              <w:t xml:space="preserve"> </w:t>
            </w:r>
            <w:r>
              <w:rPr>
                <w:szCs w:val="18"/>
                <w:rFonts w:ascii="Verdana" w:hAnsi="Verdana"/>
              </w:rPr>
              <w:t xml:space="preserve">Los tipos de pruebas y cómo se presentarán ante jueces y fiscales.</w:t>
            </w:r>
          </w:p>
          <w:p w14:paraId="3615ABFF" w14:textId="77777777" w:rsidR="00314D32" w:rsidRDefault="00314D32" w:rsidP="00314D32">
            <w:pPr>
              <w:pStyle w:val="Subtitle"/>
              <w:spacing w:line="360" w:lineRule="auto"/>
              <w:rPr>
                <w:szCs w:val="18"/>
                <w:rFonts w:ascii="Verdana" w:hAnsi="Verdana"/>
              </w:rPr>
            </w:pPr>
            <w:r>
              <w:rPr>
                <w:szCs w:val="18"/>
                <w:rFonts w:ascii="Verdana" w:hAnsi="Verdana"/>
              </w:rPr>
              <w:t xml:space="preserve">Se diferencia entre escenas del delito analógicas y escenas del delito digitales.</w:t>
            </w:r>
          </w:p>
          <w:p w14:paraId="78AA26D5" w14:textId="77777777" w:rsidR="00314D32" w:rsidRDefault="00314D32" w:rsidP="00314D32">
            <w:pPr>
              <w:pStyle w:val="Subtitle"/>
              <w:spacing w:line="360" w:lineRule="auto"/>
              <w:rPr>
                <w:szCs w:val="18"/>
                <w:rFonts w:ascii="Verdana" w:hAnsi="Verdana"/>
              </w:rPr>
            </w:pPr>
            <w:r>
              <w:rPr>
                <w:szCs w:val="18"/>
                <w:rFonts w:ascii="Verdana" w:hAnsi="Verdana"/>
              </w:rPr>
              <w:t xml:space="preserve">A continuación, el delegado recorre los pasos que componen el proceso forense digital y explica cómo funciona cada uno de ellos y cómo encaja con los anteriores para la presentación de pruebas electrónicas.</w:t>
            </w:r>
          </w:p>
          <w:p w14:paraId="4D384E6F" w14:textId="7CB29226" w:rsidR="00556D69" w:rsidRDefault="00314D32" w:rsidP="00314D32">
            <w:pPr>
              <w:pStyle w:val="Subtitle"/>
              <w:spacing w:line="360" w:lineRule="auto"/>
              <w:rPr>
                <w:rFonts w:ascii="Verdana" w:eastAsia="Times New Roman" w:hAnsi="Verdana"/>
              </w:rPr>
            </w:pPr>
            <w:r>
              <w:rPr>
                <w:szCs w:val="18"/>
                <w:rFonts w:ascii="Verdana" w:hAnsi="Verdana"/>
              </w:rPr>
              <w:t xml:space="preserve">Por último, se examina cómo serán las pruebas digitales y los tipos de pruebas que verán.</w:t>
            </w:r>
          </w:p>
        </w:tc>
      </w:tr>
      <w:tr w:rsidR="00F1574D" w:rsidRPr="00D82C18" w14:paraId="35503B3F" w14:textId="77777777" w:rsidTr="00F1574D">
        <w:trPr>
          <w:trHeight w:val="1259"/>
        </w:trPr>
        <w:tc>
          <w:tcPr>
            <w:tcW w:w="1525" w:type="dxa"/>
            <w:vAlign w:val="center"/>
          </w:tcPr>
          <w:p w14:paraId="5A87A945" w14:textId="6E3848F3" w:rsidR="00556D69" w:rsidRDefault="00314D32" w:rsidP="00F1574D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79 a 80</w:t>
            </w:r>
          </w:p>
          <w:p w14:paraId="5DE9D224" w14:textId="2175AE8F" w:rsidR="00F1574D" w:rsidRPr="006527C6" w:rsidRDefault="00F1574D" w:rsidP="00F1574D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Diapositivas importantes</w:t>
            </w:r>
          </w:p>
        </w:tc>
        <w:tc>
          <w:tcPr>
            <w:tcW w:w="7485" w:type="dxa"/>
            <w:gridSpan w:val="2"/>
            <w:vAlign w:val="center"/>
          </w:tcPr>
          <w:p w14:paraId="6E2FA816" w14:textId="1AB02424" w:rsidR="00314D32" w:rsidRPr="00314D32" w:rsidRDefault="006527C6" w:rsidP="00314D32">
            <w:pPr>
              <w:pStyle w:val="Subtitle"/>
              <w:spacing w:line="360" w:lineRule="auto"/>
            </w:pPr>
            <w:r>
              <w:rPr>
                <w:szCs w:val="18"/>
                <w:rFonts w:ascii="Verdana" w:hAnsi="Verdana"/>
              </w:rPr>
              <w:t xml:space="preserve">Con estas diapositivas se cierra la sesión, se recapitula el contenido y se da la oportunidad a los delegados de formular preguntas para aclarar dudas.</w:t>
            </w:r>
          </w:p>
        </w:tc>
      </w:tr>
      <w:tr w:rsidR="00CB3026" w:rsidRPr="00D82C18" w14:paraId="2ECF09B7" w14:textId="77777777" w:rsidTr="00F1574D">
        <w:trPr>
          <w:trHeight w:val="890"/>
        </w:trPr>
        <w:tc>
          <w:tcPr>
            <w:tcW w:w="9010" w:type="dxa"/>
            <w:gridSpan w:val="3"/>
            <w:vAlign w:val="center"/>
          </w:tcPr>
          <w:p w14:paraId="55ED1F4B" w14:textId="77777777" w:rsidR="00CB3026" w:rsidRDefault="00CB3026" w:rsidP="00CB3026">
            <w:pPr>
              <w:spacing w:before="120" w:after="120" w:line="280" w:lineRule="exact"/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Ejercicios prácticos</w:t>
            </w:r>
          </w:p>
          <w:p w14:paraId="04D65D89" w14:textId="4A7A7949" w:rsidR="00CB3026" w:rsidRPr="00CB3026" w:rsidRDefault="00FB24E8" w:rsidP="00B3608C">
            <w:pPr>
              <w:spacing w:before="120" w:after="120" w:line="280" w:lineRule="exact"/>
              <w:rPr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Se ha previsto que se realice un ejercicio práctico en el que el formador deberá repartir entre los delegados pequeños dispositivos relacionados con los ordenadores y les permitirá manejarlos, para después pasar a examinarlos y debatir si podrían tener algún tipo de utilidad en un ciberdelito.</w:t>
            </w:r>
          </w:p>
        </w:tc>
      </w:tr>
      <w:tr w:rsidR="00CB3026" w:rsidRPr="00D82C18" w14:paraId="603967A2" w14:textId="77777777" w:rsidTr="00F1574D">
        <w:tc>
          <w:tcPr>
            <w:tcW w:w="9010" w:type="dxa"/>
            <w:gridSpan w:val="3"/>
            <w:vAlign w:val="center"/>
          </w:tcPr>
          <w:p w14:paraId="57B48D1E" w14:textId="77777777" w:rsidR="00CB3026" w:rsidRDefault="00CB3026" w:rsidP="00CB3026">
            <w:pPr>
              <w:spacing w:before="120" w:after="120" w:line="280" w:lineRule="exact"/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Evaluación/comprobación de conocimientos</w:t>
            </w:r>
          </w:p>
          <w:p w14:paraId="4496975B" w14:textId="1B3740FD" w:rsidR="00CB3026" w:rsidRPr="00CB3026" w:rsidRDefault="00CB3026" w:rsidP="00B3608C">
            <w:pPr>
              <w:spacing w:before="120" w:after="120" w:line="280" w:lineRule="exact"/>
              <w:rPr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No se ha solicitado que se comprueben o evalúen los conocimientos impartidos en esta sesión.</w:t>
            </w:r>
          </w:p>
        </w:tc>
      </w:tr>
    </w:tbl>
    <w:p w14:paraId="15498912" w14:textId="77777777" w:rsidR="00D82C18" w:rsidRPr="00D82C18" w:rsidRDefault="00D82C18">
      <w:pPr>
        <w:rPr>
          <w:rFonts w:ascii="Verdana" w:hAnsi="Verdana"/>
        </w:rPr>
      </w:pPr>
    </w:p>
    <w:sectPr w:rsidR="00D82C18" w:rsidRPr="00D82C18" w:rsidSect="00F1574D">
      <w:pgSz w:w="11900" w:h="16840"/>
      <w:pgMar w:top="783" w:right="1440" w:bottom="119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 Bold">
    <w:altName w:val="Verdana"/>
    <w:panose1 w:val="020B0804030504040204"/>
    <w:charset w:val="00"/>
    <w:family w:val="auto"/>
    <w:pitch w:val="variable"/>
    <w:sig w:usb0="00000001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686C5820"/>
    <w:lvl w:ilvl="0">
      <w:numFmt w:val="decimal"/>
      <w:pStyle w:val="listbullet"/>
      <w:lvlText w:val="*"/>
      <w:lvlJc w:val="left"/>
      <w:rPr>
        <w:rFonts w:cs="Times New Roman"/>
      </w:rPr>
    </w:lvl>
  </w:abstractNum>
  <w:abstractNum w:abstractNumId="1" w15:restartNumberingAfterBreak="0">
    <w:nsid w:val="045266B2"/>
    <w:multiLevelType w:val="hybridMultilevel"/>
    <w:tmpl w:val="F43057EC"/>
    <w:lvl w:ilvl="0" w:tplc="77BA8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CAFF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60BD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A289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3C0E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B463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B26F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8897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FED9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B3724DC"/>
    <w:multiLevelType w:val="hybridMultilevel"/>
    <w:tmpl w:val="642C6C28"/>
    <w:lvl w:ilvl="0" w:tplc="1E307DD2">
      <w:start w:val="1"/>
      <w:numFmt w:val="bullet"/>
      <w:pStyle w:val="bul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1461F"/>
    <w:multiLevelType w:val="multilevel"/>
    <w:tmpl w:val="08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4" w15:restartNumberingAfterBreak="0">
    <w:nsid w:val="4092556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2AE54E4"/>
    <w:multiLevelType w:val="hybridMultilevel"/>
    <w:tmpl w:val="D2C2D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B2C9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2840D9"/>
    <w:multiLevelType w:val="hybridMultilevel"/>
    <w:tmpl w:val="FE127F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53E50"/>
    <w:multiLevelType w:val="multilevel"/>
    <w:tmpl w:val="99E2FBE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Verdana" w:hAnsi="Verdana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7CCA1946"/>
    <w:multiLevelType w:val="hybridMultilevel"/>
    <w:tmpl w:val="7A50B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9"/>
  </w:num>
  <w:num w:numId="7">
    <w:abstractNumId w:val="2"/>
  </w:num>
  <w:num w:numId="8">
    <w:abstractNumId w:val="0"/>
    <w:lvlOverride w:ilvl="0">
      <w:lvl w:ilvl="0">
        <w:start w:val="1"/>
        <w:numFmt w:val="bullet"/>
        <w:pStyle w:val="listbullet"/>
        <w:lvlText w:val=""/>
        <w:lvlJc w:val="left"/>
        <w:pPr>
          <w:tabs>
            <w:tab w:val="num" w:pos="567"/>
          </w:tabs>
          <w:ind w:left="567" w:hanging="567"/>
        </w:pPr>
        <w:rPr>
          <w:rFonts w:ascii="Wingdings" w:hAnsi="Wingdings" w:hint="default"/>
        </w:rPr>
      </w:lvl>
    </w:lvlOverride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dirty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C18"/>
    <w:rsid w:val="000C40EE"/>
    <w:rsid w:val="000F7896"/>
    <w:rsid w:val="001D603D"/>
    <w:rsid w:val="001E7389"/>
    <w:rsid w:val="00271010"/>
    <w:rsid w:val="002E3ECE"/>
    <w:rsid w:val="002F3B54"/>
    <w:rsid w:val="00314D32"/>
    <w:rsid w:val="0034224C"/>
    <w:rsid w:val="00342639"/>
    <w:rsid w:val="003453F7"/>
    <w:rsid w:val="003630ED"/>
    <w:rsid w:val="003A435F"/>
    <w:rsid w:val="003F6587"/>
    <w:rsid w:val="00450007"/>
    <w:rsid w:val="00457DD3"/>
    <w:rsid w:val="004B7351"/>
    <w:rsid w:val="00556D69"/>
    <w:rsid w:val="005703B7"/>
    <w:rsid w:val="005A4E47"/>
    <w:rsid w:val="005D4432"/>
    <w:rsid w:val="006527C6"/>
    <w:rsid w:val="006B0B52"/>
    <w:rsid w:val="0075334E"/>
    <w:rsid w:val="007678A6"/>
    <w:rsid w:val="00844FBF"/>
    <w:rsid w:val="008817F1"/>
    <w:rsid w:val="008A4C93"/>
    <w:rsid w:val="008E3FE7"/>
    <w:rsid w:val="00906F18"/>
    <w:rsid w:val="00951791"/>
    <w:rsid w:val="009D1DB1"/>
    <w:rsid w:val="009E3827"/>
    <w:rsid w:val="009F336B"/>
    <w:rsid w:val="00A03CF0"/>
    <w:rsid w:val="00A342ED"/>
    <w:rsid w:val="00A4110D"/>
    <w:rsid w:val="00A734A5"/>
    <w:rsid w:val="00A76996"/>
    <w:rsid w:val="00AA5742"/>
    <w:rsid w:val="00B3608C"/>
    <w:rsid w:val="00C115FC"/>
    <w:rsid w:val="00C541A2"/>
    <w:rsid w:val="00C70C5C"/>
    <w:rsid w:val="00CB02C4"/>
    <w:rsid w:val="00CB3026"/>
    <w:rsid w:val="00CC1F79"/>
    <w:rsid w:val="00D82C18"/>
    <w:rsid w:val="00E13BE7"/>
    <w:rsid w:val="00E7344B"/>
    <w:rsid w:val="00E77721"/>
    <w:rsid w:val="00E95703"/>
    <w:rsid w:val="00F1574D"/>
    <w:rsid w:val="00F504D6"/>
    <w:rsid w:val="00F62A15"/>
    <w:rsid w:val="00F955B5"/>
    <w:rsid w:val="00FB24E8"/>
    <w:rsid w:val="00FB6DE5"/>
    <w:rsid w:val="00FE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7CF78"/>
  <w14:defaultImageDpi w14:val="32767"/>
  <w15:docId w15:val="{F20326E9-F316-4B3A-9582-EFEC2E12E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autoRedefine/>
    <w:uiPriority w:val="9"/>
    <w:qFormat/>
    <w:rsid w:val="003453F7"/>
    <w:pPr>
      <w:keepNext/>
      <w:keepLines/>
      <w:numPr>
        <w:numId w:val="9"/>
      </w:numPr>
      <w:spacing w:before="120" w:after="240" w:line="260" w:lineRule="atLeast"/>
      <w:ind w:right="-79"/>
      <w:jc w:val="both"/>
      <w:outlineLvl w:val="0"/>
    </w:pPr>
    <w:rPr>
      <w:rFonts w:ascii="Verdana" w:eastAsiaTheme="majorEastAsia" w:hAnsi="Verdan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53F7"/>
    <w:pPr>
      <w:keepNext/>
      <w:keepLines/>
      <w:numPr>
        <w:ilvl w:val="1"/>
        <w:numId w:val="9"/>
      </w:numPr>
      <w:spacing w:before="120" w:after="240" w:line="280" w:lineRule="atLeast"/>
      <w:ind w:right="-79"/>
      <w:jc w:val="both"/>
      <w:outlineLvl w:val="1"/>
    </w:pPr>
    <w:rPr>
      <w:rFonts w:ascii="Verdana" w:eastAsiaTheme="majorEastAsia" w:hAnsi="Verdana" w:cstheme="majorBidi"/>
      <w:b/>
      <w:bCs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53F7"/>
    <w:pPr>
      <w:keepNext/>
      <w:keepLines/>
      <w:numPr>
        <w:ilvl w:val="2"/>
        <w:numId w:val="9"/>
      </w:numPr>
      <w:spacing w:before="120" w:after="240" w:line="280" w:lineRule="atLeast"/>
      <w:ind w:left="851" w:right="-79" w:hanging="851"/>
      <w:jc w:val="both"/>
      <w:outlineLvl w:val="2"/>
    </w:pPr>
    <w:rPr>
      <w:rFonts w:ascii="Verdana" w:eastAsiaTheme="majorEastAsia" w:hAnsi="Verdana" w:cstheme="majorBidi"/>
      <w:b/>
      <w:bCs/>
      <w:sz w:val="18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453F7"/>
    <w:pPr>
      <w:keepNext/>
      <w:keepLines/>
      <w:numPr>
        <w:ilvl w:val="3"/>
        <w:numId w:val="9"/>
      </w:numPr>
      <w:spacing w:before="120" w:after="120" w:line="280" w:lineRule="atLeast"/>
      <w:ind w:right="-79"/>
      <w:jc w:val="both"/>
      <w:outlineLvl w:val="3"/>
    </w:pPr>
    <w:rPr>
      <w:rFonts w:ascii="Verdana" w:eastAsiaTheme="majorEastAsia" w:hAnsi="Verdana" w:cstheme="majorBidi"/>
      <w:b/>
      <w:bCs/>
      <w:iCs/>
      <w:sz w:val="18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453F7"/>
    <w:pPr>
      <w:keepNext/>
      <w:keepLines/>
      <w:numPr>
        <w:ilvl w:val="4"/>
        <w:numId w:val="9"/>
      </w:numPr>
      <w:spacing w:before="200" w:line="280" w:lineRule="atLeast"/>
      <w:jc w:val="both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453F7"/>
    <w:pPr>
      <w:keepNext/>
      <w:keepLines/>
      <w:numPr>
        <w:ilvl w:val="5"/>
        <w:numId w:val="9"/>
      </w:numPr>
      <w:spacing w:before="200" w:line="280" w:lineRule="atLeast"/>
      <w:jc w:val="both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453F7"/>
    <w:pPr>
      <w:keepNext/>
      <w:keepLines/>
      <w:numPr>
        <w:ilvl w:val="6"/>
        <w:numId w:val="9"/>
      </w:numPr>
      <w:spacing w:before="200" w:line="280" w:lineRule="atLeast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453F7"/>
    <w:pPr>
      <w:keepNext/>
      <w:keepLines/>
      <w:numPr>
        <w:ilvl w:val="7"/>
        <w:numId w:val="9"/>
      </w:numPr>
      <w:spacing w:before="200" w:line="280" w:lineRule="atLeast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453F7"/>
    <w:pPr>
      <w:keepNext/>
      <w:keepLines/>
      <w:numPr>
        <w:ilvl w:val="8"/>
        <w:numId w:val="9"/>
      </w:numPr>
      <w:spacing w:before="200" w:line="280" w:lineRule="atLeast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2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2C18"/>
    <w:pPr>
      <w:ind w:left="720"/>
      <w:contextualSpacing/>
    </w:pPr>
  </w:style>
  <w:style w:type="paragraph" w:customStyle="1" w:styleId="bul1">
    <w:name w:val="bul1"/>
    <w:basedOn w:val="Normal"/>
    <w:link w:val="bul1Char"/>
    <w:qFormat/>
    <w:rsid w:val="00E7344B"/>
    <w:pPr>
      <w:numPr>
        <w:numId w:val="7"/>
      </w:numPr>
      <w:spacing w:line="280" w:lineRule="atLeast"/>
      <w:ind w:left="851" w:hanging="851"/>
      <w:jc w:val="both"/>
    </w:pPr>
    <w:rPr>
      <w:rFonts w:ascii="Verdana" w:eastAsia="Calibri" w:hAnsi="Verdana" w:cs="Times New Roman"/>
      <w:sz w:val="18"/>
      <w:lang w:val="es-ES" w:eastAsia="de-DE"/>
    </w:rPr>
  </w:style>
  <w:style w:type="character" w:customStyle="1" w:styleId="bul1Char">
    <w:name w:val="bul1 Char"/>
    <w:link w:val="bul1"/>
    <w:locked/>
    <w:rsid w:val="00E7344B"/>
    <w:rPr>
      <w:rFonts w:ascii="Verdana" w:eastAsia="Calibri" w:hAnsi="Verdana" w:cs="Times New Roman"/>
      <w:sz w:val="18"/>
      <w:lang w:val="es-ES" w:eastAsia="de-DE"/>
    </w:rPr>
  </w:style>
  <w:style w:type="character" w:styleId="Hyperlink">
    <w:name w:val="Hyperlink"/>
    <w:basedOn w:val="DefaultParagraphFont"/>
    <w:uiPriority w:val="99"/>
    <w:unhideWhenUsed/>
    <w:rsid w:val="005703B7"/>
    <w:rPr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026"/>
    <w:pPr>
      <w:numPr>
        <w:ilvl w:val="1"/>
      </w:numPr>
      <w:spacing w:before="20" w:after="120" w:line="280" w:lineRule="atLeast"/>
      <w:jc w:val="both"/>
    </w:pPr>
    <w:rPr>
      <w:rFonts w:ascii="Verdana Bold" w:eastAsiaTheme="majorEastAsia" w:hAnsi="Verdana Bold" w:cstheme="majorBidi"/>
      <w:iCs/>
      <w:color w:val="000000" w:themeColor="text1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B3026"/>
    <w:rPr>
      <w:rFonts w:ascii="Verdana Bold" w:eastAsiaTheme="majorEastAsia" w:hAnsi="Verdana Bold" w:cstheme="majorBidi"/>
      <w:iCs/>
      <w:color w:val="000000" w:themeColor="text1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453F7"/>
    <w:rPr>
      <w:rFonts w:ascii="Verdana" w:eastAsiaTheme="majorEastAsia" w:hAnsi="Verdan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453F7"/>
    <w:rPr>
      <w:rFonts w:ascii="Verdana" w:eastAsiaTheme="majorEastAsia" w:hAnsi="Verdana" w:cstheme="majorBidi"/>
      <w:b/>
      <w:bCs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453F7"/>
    <w:rPr>
      <w:rFonts w:ascii="Verdana" w:eastAsiaTheme="majorEastAsia" w:hAnsi="Verdana" w:cstheme="majorBidi"/>
      <w:b/>
      <w:bCs/>
      <w:sz w:val="18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3453F7"/>
    <w:rPr>
      <w:rFonts w:ascii="Verdana" w:eastAsiaTheme="majorEastAsia" w:hAnsi="Verdana" w:cstheme="majorBidi"/>
      <w:b/>
      <w:bCs/>
      <w:iCs/>
      <w:sz w:val="18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3453F7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3453F7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3453F7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3453F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453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istbullet">
    <w:name w:val="listbullet"/>
    <w:basedOn w:val="Normal"/>
    <w:rsid w:val="003453F7"/>
    <w:pPr>
      <w:numPr>
        <w:numId w:val="8"/>
      </w:numPr>
      <w:tabs>
        <w:tab w:val="left" w:pos="567"/>
      </w:tabs>
      <w:spacing w:line="280" w:lineRule="atLeast"/>
      <w:jc w:val="both"/>
    </w:pPr>
    <w:rPr>
      <w:rFonts w:ascii="Book Antiqua" w:eastAsia="Calibri" w:hAnsi="Book Antiqua" w:cs="Times New Roman"/>
      <w:sz w:val="19"/>
      <w:szCs w:val="20"/>
    </w:rPr>
  </w:style>
  <w:style w:type="paragraph" w:styleId="NormalWeb">
    <w:name w:val="Normal (Web)"/>
    <w:basedOn w:val="Normal"/>
    <w:uiPriority w:val="99"/>
    <w:semiHidden/>
    <w:unhideWhenUsed/>
    <w:rsid w:val="00556D69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92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81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4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59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1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50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44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Nigel (nigel.jones@canterbury.ac.uk)</dc:creator>
  <cp:keywords/>
  <dc:description/>
  <cp:lastModifiedBy>Mark Cameron</cp:lastModifiedBy>
  <cp:revision>6</cp:revision>
  <dcterms:created xsi:type="dcterms:W3CDTF">2020-08-16T12:45:00Z</dcterms:created>
  <dcterms:modified xsi:type="dcterms:W3CDTF">2020-09-16T15:16:00Z</dcterms:modified>
</cp:coreProperties>
</file>