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7C56D" w14:textId="67EB87B0" w:rsidR="00D82C18" w:rsidRPr="00617156" w:rsidRDefault="00617156" w:rsidP="00617156">
      <w:pPr>
        <w:rPr>
          <w:b/>
          <w:color w:val="806000" w:themeColor="accent4" w:themeShade="80"/>
          <w:sz w:val="22"/>
          <w:szCs w:val="22"/>
          <w:rFonts w:ascii="Verdana" w:hAnsi="Verdana"/>
        </w:rPr>
      </w:pPr>
      <w:r>
        <w:rPr>
          <w:sz w:val="28"/>
          <w:rFonts w:ascii="Verdana" w:hAnsi="Verdana"/>
        </w:rPr>
        <w:t xml:space="preserve">Mësimi 1.5 – Bazat e Krimit Kibernetik</w:t>
      </w:r>
    </w:p>
    <w:p w14:paraId="0A3DD02D" w14:textId="77777777" w:rsidR="00D82C18" w:rsidRPr="00D82C18" w:rsidRDefault="00D82C18">
      <w:pPr>
        <w:rPr>
          <w:rFonts w:ascii="Verdana" w:hAnsi="Verdana"/>
        </w:rPr>
      </w:pPr>
    </w:p>
    <w:tbl>
      <w:tblPr>
        <w:tblStyle w:val="TableGrid"/>
        <w:tblW w:w="0" w:type="auto"/>
        <w:tblLayout w:type="fixed"/>
        <w:tblLook w:val="04A0" w:firstRow="1" w:lastRow="0" w:firstColumn="1" w:lastColumn="0" w:noHBand="0" w:noVBand="1"/>
      </w:tblPr>
      <w:tblGrid>
        <w:gridCol w:w="1435"/>
        <w:gridCol w:w="5410"/>
        <w:gridCol w:w="2165"/>
      </w:tblGrid>
      <w:tr w:rsidR="005703B7" w:rsidRPr="00D82C18" w14:paraId="58A3485E" w14:textId="77777777" w:rsidTr="001F724F">
        <w:trPr>
          <w:trHeight w:val="899"/>
        </w:trPr>
        <w:tc>
          <w:tcPr>
            <w:tcW w:w="6845" w:type="dxa"/>
            <w:gridSpan w:val="2"/>
            <w:shd w:val="clear" w:color="auto" w:fill="DEEAF6" w:themeFill="accent5" w:themeFillTint="33"/>
            <w:vAlign w:val="center"/>
          </w:tcPr>
          <w:p w14:paraId="0067FF35" w14:textId="226C9BA9" w:rsidR="00D82C18" w:rsidRPr="00D82C18" w:rsidRDefault="00D82C18" w:rsidP="00617156">
            <w:pPr>
              <w:rPr>
                <w:sz w:val="22"/>
                <w:szCs w:val="22"/>
                <w:rFonts w:ascii="Verdana" w:hAnsi="Verdana"/>
              </w:rPr>
            </w:pPr>
            <w:r>
              <w:rPr>
                <w:sz w:val="22"/>
                <w:rFonts w:ascii="Verdana" w:hAnsi="Verdana"/>
              </w:rPr>
              <w:t xml:space="preserve">Mësimi 1.5 Bazat e Krimit Kibernetik</w:t>
            </w:r>
          </w:p>
        </w:tc>
        <w:tc>
          <w:tcPr>
            <w:tcW w:w="2165" w:type="dxa"/>
            <w:shd w:val="clear" w:color="auto" w:fill="DEEAF6" w:themeFill="accent5" w:themeFillTint="33"/>
            <w:vAlign w:val="center"/>
          </w:tcPr>
          <w:p w14:paraId="30B631DA" w14:textId="787597E4" w:rsidR="00617156" w:rsidRPr="00D82C18" w:rsidRDefault="00D82C18" w:rsidP="00617156">
            <w:pPr>
              <w:rPr>
                <w:sz w:val="22"/>
                <w:szCs w:val="22"/>
                <w:rFonts w:ascii="Verdana" w:hAnsi="Verdana"/>
              </w:rPr>
            </w:pPr>
            <w:r>
              <w:rPr>
                <w:sz w:val="22"/>
                <w:rFonts w:ascii="Verdana" w:hAnsi="Verdana"/>
              </w:rPr>
              <w:t xml:space="preserve">Kohëzgjatja:</w:t>
            </w:r>
            <w:r>
              <w:rPr>
                <w:sz w:val="22"/>
                <w:rFonts w:ascii="Verdana" w:hAnsi="Verdana"/>
              </w:rPr>
              <w:t xml:space="preserve"> </w:t>
            </w:r>
            <w:r>
              <w:rPr>
                <w:sz w:val="22"/>
                <w:rFonts w:ascii="Verdana" w:hAnsi="Verdana"/>
              </w:rPr>
              <w:t xml:space="preserve">90 minuta</w:t>
            </w:r>
            <w:r>
              <w:rPr>
                <w:sz w:val="22"/>
                <w:rFonts w:ascii="Verdana" w:hAnsi="Verdana"/>
              </w:rPr>
              <w:t xml:space="preserve"> </w:t>
            </w:r>
          </w:p>
        </w:tc>
      </w:tr>
      <w:tr w:rsidR="00E7344B" w:rsidRPr="00D82C18" w14:paraId="7C1107AB" w14:textId="77777777" w:rsidTr="00D65E51">
        <w:trPr>
          <w:trHeight w:val="3400"/>
        </w:trPr>
        <w:tc>
          <w:tcPr>
            <w:tcW w:w="9010" w:type="dxa"/>
            <w:gridSpan w:val="3"/>
            <w:vAlign w:val="center"/>
          </w:tcPr>
          <w:p w14:paraId="0B1C3404" w14:textId="1225270C" w:rsidR="00E7344B" w:rsidRPr="00A03CF0" w:rsidRDefault="00E7344B" w:rsidP="00F62A15">
            <w:pPr>
              <w:spacing w:before="120" w:after="120" w:line="280" w:lineRule="exact"/>
              <w:rPr>
                <w:b/>
                <w:sz w:val="22"/>
                <w:szCs w:val="22"/>
                <w:rFonts w:ascii="Verdana" w:hAnsi="Verdana"/>
              </w:rPr>
            </w:pPr>
            <w:r>
              <w:rPr>
                <w:b/>
                <w:sz w:val="22"/>
                <w:rFonts w:ascii="Verdana" w:hAnsi="Verdana"/>
              </w:rPr>
              <w:t xml:space="preserve">Burimet e nevojshme:</w:t>
            </w:r>
            <w:r>
              <w:rPr>
                <w:b/>
                <w:sz w:val="22"/>
                <w:rFonts w:ascii="Verdana" w:hAnsi="Verdana"/>
              </w:rPr>
              <w:t xml:space="preserve"> </w:t>
            </w:r>
          </w:p>
          <w:p w14:paraId="3E3ADEA0" w14:textId="77777777"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PC/Laptop ngarkuar me versione softuerësh të pajtueshëm me materialet e përgatitura</w:t>
            </w:r>
          </w:p>
          <w:p w14:paraId="580FF491" w14:textId="77264819" w:rsidR="00617156" w:rsidRPr="00617156" w:rsidRDefault="00617156"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Prezantim në PowerPoint</w:t>
            </w:r>
          </w:p>
          <w:p w14:paraId="737B8760" w14:textId="272126F7"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Projektor dhe ekran për shfaqje</w:t>
            </w:r>
          </w:p>
          <w:p w14:paraId="65055340" w14:textId="6BAA99AC"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Qasje në internet (nëse ka)</w:t>
            </w:r>
          </w:p>
          <w:p w14:paraId="77D38996" w14:textId="0AD63C4C"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Dërrasë e bardhë</w:t>
            </w:r>
          </w:p>
          <w:p w14:paraId="0952434B" w14:textId="57D3D6CC"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Lapsa për dërrasë të bardhë (të paktën nga dy secila ngjyrë: të kaltër, të zi, të kuq dhe të gjelbër)</w:t>
            </w:r>
          </w:p>
          <w:p w14:paraId="33EC5B34" w14:textId="74E429DF"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2 Flipçart me letër adekuate</w:t>
            </w:r>
          </w:p>
          <w:p w14:paraId="0D73B442" w14:textId="77777777" w:rsidR="00E7344B" w:rsidRPr="00617156" w:rsidRDefault="00E7344B" w:rsidP="00F62A15">
            <w:pPr>
              <w:pStyle w:val="bul1"/>
              <w:numPr>
                <w:ilvl w:val="0"/>
                <w:numId w:val="6"/>
              </w:numPr>
              <w:spacing w:before="120" w:after="120" w:line="280" w:lineRule="exact"/>
              <w:contextualSpacing/>
              <w:rPr>
                <w:color w:val="000000" w:themeColor="text1"/>
                <w:szCs w:val="18"/>
              </w:rPr>
            </w:pPr>
            <w:r>
              <w:rPr>
                <w:color w:val="000000" w:themeColor="text1"/>
              </w:rPr>
              <w:t xml:space="preserve">Fletore për shënime për pjesëmarrës dhe lapsa kimik.</w:t>
            </w:r>
          </w:p>
          <w:p w14:paraId="14CF9EF0" w14:textId="70274113" w:rsidR="00E7344B" w:rsidRPr="00F62A15" w:rsidRDefault="00E7344B" w:rsidP="00F62A15">
            <w:pPr>
              <w:pStyle w:val="bul1"/>
              <w:numPr>
                <w:ilvl w:val="0"/>
                <w:numId w:val="6"/>
              </w:numPr>
              <w:spacing w:before="120" w:after="120" w:line="280" w:lineRule="exact"/>
              <w:contextualSpacing/>
              <w:rPr>
                <w:i/>
                <w:color w:val="00B050"/>
                <w:szCs w:val="18"/>
              </w:rPr>
            </w:pPr>
            <w:r>
              <w:rPr>
                <w:color w:val="000000" w:themeColor="text1"/>
              </w:rPr>
              <w:t xml:space="preserve">Blu tack ose një produkt i ngjashëm për të lejuar që letra të ngjitet përkohësisht në mure</w:t>
            </w:r>
          </w:p>
        </w:tc>
      </w:tr>
      <w:tr w:rsidR="00E7344B" w:rsidRPr="00D82C18" w14:paraId="635F2EFD" w14:textId="77777777" w:rsidTr="00D65E51">
        <w:trPr>
          <w:trHeight w:val="2697"/>
        </w:trPr>
        <w:tc>
          <w:tcPr>
            <w:tcW w:w="9010" w:type="dxa"/>
            <w:gridSpan w:val="3"/>
            <w:vAlign w:val="center"/>
          </w:tcPr>
          <w:p w14:paraId="34602AF3" w14:textId="77777777" w:rsidR="00A03CF0" w:rsidRDefault="00A03CF0" w:rsidP="00F62A15">
            <w:pPr>
              <w:spacing w:before="120" w:after="120" w:line="280" w:lineRule="exact"/>
              <w:rPr>
                <w:b/>
                <w:sz w:val="22"/>
                <w:szCs w:val="22"/>
                <w:rFonts w:ascii="Verdana" w:hAnsi="Verdana"/>
              </w:rPr>
            </w:pPr>
            <w:r>
              <w:rPr>
                <w:b/>
                <w:sz w:val="22"/>
                <w:rFonts w:ascii="Verdana" w:hAnsi="Verdana"/>
              </w:rPr>
              <w:t xml:space="preserve">Qëllimi i seancës:</w:t>
            </w:r>
            <w:r>
              <w:rPr>
                <w:b/>
                <w:sz w:val="22"/>
                <w:rFonts w:ascii="Verdana" w:hAnsi="Verdana"/>
              </w:rPr>
              <w:t xml:space="preserve">  </w:t>
            </w:r>
          </w:p>
          <w:p w14:paraId="7B8CC737" w14:textId="5158087D" w:rsidR="0057769C" w:rsidRPr="0057769C" w:rsidRDefault="00A870E0" w:rsidP="0057769C">
            <w:pPr>
              <w:spacing w:before="120" w:after="120" w:line="280" w:lineRule="exact"/>
              <w:rPr>
                <w:sz w:val="18"/>
                <w:szCs w:val="18"/>
                <w:rFonts w:ascii="Verdana" w:eastAsia="Calibri" w:hAnsi="Verdana"/>
              </w:rPr>
            </w:pPr>
            <w:r>
              <w:rPr>
                <w:sz w:val="18"/>
                <w:rFonts w:ascii="Verdana" w:hAnsi="Verdana"/>
              </w:rPr>
              <w:t xml:space="preserve">Kjo seancë ofron për pjesëmarrësit një hyrjeje për shoqërinë e informacionit dhe krimin kibernetik dhe identifikimi i organizatave ndërkombëtare dhe përpjekjeve të tyre për të luftuar këtë lloj modern të kriminalitetit.</w:t>
            </w:r>
          </w:p>
          <w:p w14:paraId="3FE58655" w14:textId="3E998A1E" w:rsidR="00A03CF0" w:rsidRPr="0057769C" w:rsidRDefault="0057769C" w:rsidP="00D65E51">
            <w:pPr>
              <w:spacing w:before="120" w:after="120" w:line="280" w:lineRule="exact"/>
              <w:rPr>
                <w:sz w:val="18"/>
                <w:szCs w:val="18"/>
                <w:rFonts w:ascii="Verdana" w:eastAsia="Calibri" w:hAnsi="Verdana" w:cs="Times New Roman"/>
              </w:rPr>
            </w:pPr>
            <w:r>
              <w:rPr>
                <w:sz w:val="18"/>
                <w:rFonts w:ascii="Verdana" w:hAnsi="Verdana"/>
              </w:rPr>
              <w:t xml:space="preserve">Kjo po ashtu shërben për të dhënë përkufizime themelore të krimit kibernetik, të merret parasysh Konventa e KiE-së e Budapestit dhe përcaktimi i formave bashkëkohore të krimit kibernetik.</w:t>
            </w:r>
          </w:p>
        </w:tc>
      </w:tr>
      <w:tr w:rsidR="00A03CF0" w:rsidRPr="00D82C18" w14:paraId="1B5A80A7" w14:textId="77777777" w:rsidTr="00D65E51">
        <w:trPr>
          <w:trHeight w:val="3105"/>
        </w:trPr>
        <w:tc>
          <w:tcPr>
            <w:tcW w:w="9010" w:type="dxa"/>
            <w:gridSpan w:val="3"/>
            <w:vAlign w:val="center"/>
          </w:tcPr>
          <w:p w14:paraId="559A7E05" w14:textId="77777777" w:rsidR="00A03CF0" w:rsidRPr="00271010" w:rsidRDefault="00271010" w:rsidP="005E396D">
            <w:pPr>
              <w:spacing w:before="120" w:after="120" w:line="280" w:lineRule="exact"/>
              <w:rPr>
                <w:b/>
                <w:sz w:val="22"/>
                <w:szCs w:val="22"/>
                <w:rFonts w:ascii="Verdana" w:hAnsi="Verdana"/>
              </w:rPr>
            </w:pPr>
            <w:r>
              <w:rPr>
                <w:b/>
                <w:sz w:val="22"/>
                <w:rFonts w:ascii="Verdana" w:hAnsi="Verdana"/>
              </w:rPr>
              <w:t xml:space="preserve">Objektivat:</w:t>
            </w:r>
          </w:p>
          <w:p w14:paraId="3B561508" w14:textId="13330D7F" w:rsidR="005E396D" w:rsidRPr="005E396D" w:rsidRDefault="005E396D" w:rsidP="005E396D">
            <w:pPr>
              <w:rPr>
                <w:sz w:val="18"/>
                <w:szCs w:val="18"/>
                <w:rFonts w:ascii="Verdana" w:eastAsia="Calibri" w:hAnsi="Verdana" w:cs="Times New Roman"/>
              </w:rPr>
            </w:pPr>
            <w:r>
              <w:rPr>
                <w:sz w:val="18"/>
                <w:rFonts w:ascii="Verdana" w:hAnsi="Verdana"/>
              </w:rPr>
              <w:t xml:space="preserve">Në fund të orës së mësimit studentët do të jenë në gjendje të:</w:t>
            </w:r>
            <w:r>
              <w:rPr>
                <w:sz w:val="18"/>
                <w:rFonts w:ascii="Verdana" w:hAnsi="Verdana"/>
              </w:rPr>
              <w:t xml:space="preserve"> </w:t>
            </w:r>
          </w:p>
          <w:p w14:paraId="536E2391" w14:textId="7A978A64" w:rsidR="0057769C" w:rsidRPr="0057769C" w:rsidRDefault="0057769C" w:rsidP="0057769C">
            <w:pPr>
              <w:pStyle w:val="bul1"/>
              <w:numPr>
                <w:ilvl w:val="0"/>
                <w:numId w:val="12"/>
              </w:numPr>
              <w:rPr>
                <w:szCs w:val="18"/>
              </w:rPr>
            </w:pPr>
            <w:r>
              <w:t xml:space="preserve">Identifikojnë llojet e ndryshme të krimit kibernetik dhe ndikimin e tyre</w:t>
            </w:r>
          </w:p>
          <w:p w14:paraId="435759C0" w14:textId="77777777" w:rsidR="0057769C" w:rsidRPr="0057769C" w:rsidRDefault="0057769C" w:rsidP="0057769C">
            <w:pPr>
              <w:pStyle w:val="bul1"/>
              <w:numPr>
                <w:ilvl w:val="0"/>
                <w:numId w:val="12"/>
              </w:numPr>
              <w:rPr>
                <w:szCs w:val="18"/>
              </w:rPr>
            </w:pPr>
            <w:r>
              <w:t xml:space="preserve">Renditin kërcënimet, trendet dhe mjetet e krimit kibernetik dhe përgjigjet ndaj fenomenit.</w:t>
            </w:r>
            <w:r>
              <w:t xml:space="preserve"> </w:t>
            </w:r>
          </w:p>
          <w:p w14:paraId="091B000F" w14:textId="22A51D8F" w:rsidR="0057769C" w:rsidRPr="0057769C" w:rsidRDefault="0057769C" w:rsidP="0057769C">
            <w:pPr>
              <w:pStyle w:val="bul1"/>
              <w:numPr>
                <w:ilvl w:val="0"/>
                <w:numId w:val="12"/>
              </w:numPr>
              <w:rPr>
                <w:szCs w:val="18"/>
              </w:rPr>
            </w:pPr>
            <w:r>
              <w:t xml:space="preserve">Shpjegojnë konceptet e krimit kibernetik që konsiderohen lloje të krimit sipas shumicës së legjislacionit dhe standardeve ndërkombëtare</w:t>
            </w:r>
            <w:r>
              <w:t xml:space="preserve"> </w:t>
            </w:r>
          </w:p>
          <w:p w14:paraId="61ABEAC5" w14:textId="10ADE785" w:rsidR="00E95703" w:rsidRPr="0057769C" w:rsidRDefault="0057769C" w:rsidP="0057769C">
            <w:pPr>
              <w:pStyle w:val="bul1"/>
              <w:numPr>
                <w:ilvl w:val="0"/>
                <w:numId w:val="12"/>
              </w:numPr>
              <w:rPr>
                <w:szCs w:val="18"/>
              </w:rPr>
            </w:pPr>
            <w:r>
              <w:t xml:space="preserve">Analizojnë nevojat dhe përparësitë e harmonizimit ndërmjet legjislacionit kombëtar dhe instrumenteve ndërkombëtare, në veçanti Konventës së Budapestit.</w:t>
            </w:r>
          </w:p>
        </w:tc>
      </w:tr>
      <w:tr w:rsidR="005703B7" w:rsidRPr="00D82C18" w14:paraId="03110757" w14:textId="77777777" w:rsidTr="001F724F">
        <w:trPr>
          <w:trHeight w:val="10790"/>
        </w:trPr>
        <w:tc>
          <w:tcPr>
            <w:tcW w:w="9010" w:type="dxa"/>
            <w:gridSpan w:val="3"/>
            <w:tcBorders>
              <w:bottom w:val="single" w:sz="4" w:space="0" w:color="auto"/>
            </w:tcBorders>
            <w:vAlign w:val="center"/>
          </w:tcPr>
          <w:p w14:paraId="7A064E85" w14:textId="11F41FB5" w:rsidR="005703B7" w:rsidRDefault="00E95703" w:rsidP="00F62A15">
            <w:pPr>
              <w:spacing w:before="120" w:after="120" w:line="280" w:lineRule="exact"/>
              <w:rPr>
                <w:b/>
                <w:sz w:val="22"/>
                <w:szCs w:val="22"/>
                <w:rFonts w:ascii="Verdana" w:hAnsi="Verdana"/>
              </w:rPr>
            </w:pPr>
            <w:r>
              <w:rPr>
                <w:b/>
                <w:sz w:val="22"/>
                <w:rFonts w:ascii="Verdana" w:hAnsi="Verdana"/>
              </w:rPr>
              <w:t xml:space="preserve">Udhëzimi për trajnerë</w:t>
            </w:r>
          </w:p>
          <w:p w14:paraId="3552E7E0" w14:textId="726D05D6" w:rsidR="005E396D" w:rsidRPr="005E396D" w:rsidRDefault="005E396D" w:rsidP="005E396D">
            <w:pPr>
              <w:spacing w:after="120" w:line="280" w:lineRule="exact"/>
              <w:jc w:val="both"/>
              <w:rPr>
                <w:sz w:val="18"/>
                <w:szCs w:val="18"/>
                <w:rFonts w:ascii="Verdana" w:eastAsia="Calibri" w:hAnsi="Verdana" w:cs="Times New Roman"/>
              </w:rPr>
            </w:pPr>
            <w:r>
              <w:rPr>
                <w:sz w:val="18"/>
                <w:rFonts w:ascii="Verdana" w:hAnsi="Verdana"/>
              </w:rPr>
              <w:t xml:space="preserve">Kjo seancë ka për qëllim t'u sigurojë trajnerëve një kornizë për zhvillimin e materialit trajnues që do të shpërndahet si pjesë e një programi më të gjerë.</w:t>
            </w:r>
            <w:r>
              <w:rPr>
                <w:sz w:val="18"/>
                <w:rFonts w:ascii="Verdana" w:hAnsi="Verdana"/>
              </w:rPr>
              <w:t xml:space="preserve"> </w:t>
            </w:r>
            <w:r>
              <w:rPr>
                <w:sz w:val="18"/>
                <w:rFonts w:ascii="Verdana" w:hAnsi="Verdana"/>
              </w:rPr>
              <w:t xml:space="preserve">Nuk mund të jetë gjithëpërfshirëse pasi teknologjia ndryshon kaq shpejt saqë specifikimet teknike të hollësishme do të ishin të vjetruara gati derisa  dokumenti të botohet.</w:t>
            </w:r>
            <w:r>
              <w:rPr>
                <w:sz w:val="18"/>
                <w:rFonts w:ascii="Verdana" w:hAnsi="Verdana"/>
              </w:rPr>
              <w:t xml:space="preserve"> </w:t>
            </w:r>
            <w:r>
              <w:rPr>
                <w:sz w:val="18"/>
                <w:rFonts w:ascii="Verdana" w:hAnsi="Verdana"/>
              </w:rPr>
              <w:t xml:space="preserve">Sigurimi që gjyqtarët dhe prokurorët kanë kuptim të mjaftueshëm të çështjeve teknike pasi ato kanë të bëjnë me çështjet para tyre është thelbësore për drejtimin e drejtë të çdo sistemi gjyqësor.</w:t>
            </w:r>
            <w:r>
              <w:rPr>
                <w:sz w:val="18"/>
                <w:rFonts w:ascii="Verdana" w:hAnsi="Verdana"/>
              </w:rPr>
              <w:t xml:space="preserve"> </w:t>
            </w:r>
            <w:r>
              <w:rPr>
                <w:sz w:val="18"/>
                <w:rFonts w:ascii="Verdana" w:hAnsi="Verdana"/>
              </w:rPr>
              <w:t xml:space="preserve">Kjo seancë ofron një përmbledhje të aspekteve përkatëse të teknologjisë dhe rëndësisë së saj për sistemin e drejtësisë penale.</w:t>
            </w:r>
            <w:r>
              <w:rPr>
                <w:sz w:val="18"/>
                <w:rFonts w:ascii="Verdana" w:hAnsi="Verdana"/>
              </w:rPr>
              <w:t xml:space="preserve"> </w:t>
            </w:r>
            <w:r>
              <w:rPr>
                <w:sz w:val="18"/>
                <w:rFonts w:ascii="Verdana" w:hAnsi="Verdana"/>
              </w:rPr>
              <w:t xml:space="preserve">Një prezantim i PowerPoint ofrohet si një burim që trajnerët të përdorin nëse konsiderohet e përshtatshme.</w:t>
            </w:r>
            <w:r>
              <w:rPr>
                <w:sz w:val="18"/>
                <w:rFonts w:ascii="Verdana" w:hAnsi="Verdana"/>
              </w:rPr>
              <w:t xml:space="preserve"> </w:t>
            </w:r>
          </w:p>
          <w:p w14:paraId="71562C73" w14:textId="011A4E40" w:rsidR="00E95703" w:rsidRDefault="005E396D" w:rsidP="005E396D">
            <w:pPr>
              <w:spacing w:before="120" w:after="120" w:line="280" w:lineRule="exact"/>
              <w:jc w:val="both"/>
              <w:rPr>
                <w:sz w:val="18"/>
                <w:szCs w:val="18"/>
                <w:rFonts w:ascii="Verdana" w:eastAsia="Calibri" w:hAnsi="Verdana" w:cs="Times New Roman"/>
              </w:rPr>
            </w:pPr>
            <w:r>
              <w:rPr>
                <w:sz w:val="18"/>
                <w:rFonts w:ascii="Verdana" w:hAnsi="Verdana"/>
              </w:rPr>
              <w:t xml:space="preserve">Kjo seancë ofron informacion në lidhje me teknologjinë dhe terminologjinë që do të haset nga gjyqtarët dhe prokurorët gjatë punës së tyre dhe që përdoret nga kriminelët për të kryer krimin dhe zbatimi i ligjit për ta zbuluar atë.</w:t>
            </w:r>
            <w:r>
              <w:rPr>
                <w:sz w:val="18"/>
                <w:rFonts w:ascii="Verdana" w:hAnsi="Verdana"/>
              </w:rPr>
              <w:t xml:space="preserve"> </w:t>
            </w:r>
            <w:r>
              <w:rPr>
                <w:sz w:val="18"/>
                <w:rFonts w:ascii="Verdana" w:hAnsi="Verdana"/>
              </w:rPr>
              <w:t xml:space="preserve">Prezantimi në Powerpoint synon të ndihmojë në prezantimin e teknologjive para pjesëmarrësve.</w:t>
            </w:r>
            <w:r>
              <w:rPr>
                <w:sz w:val="18"/>
                <w:rFonts w:ascii="Verdana" w:hAnsi="Verdana"/>
              </w:rPr>
              <w:t xml:space="preserve"> </w:t>
            </w:r>
            <w:r>
              <w:rPr>
                <w:sz w:val="18"/>
                <w:rFonts w:ascii="Verdana" w:hAnsi="Verdana"/>
              </w:rPr>
              <w:t xml:space="preserve">Sidoqoftë, ai duhet të shërbejë vetëm si model dhe duhet të përpunohet nga trajneri për t'iu përshtatur audiencës së synuar, orarit dhe informacionit të rëndësishëm për vendin e tij/saj.</w:t>
            </w:r>
            <w:r>
              <w:rPr>
                <w:sz w:val="18"/>
                <w:rFonts w:ascii="Verdana" w:hAnsi="Verdana"/>
              </w:rPr>
              <w:t xml:space="preserve"> </w:t>
            </w:r>
            <w:r>
              <w:rPr>
                <w:sz w:val="18"/>
                <w:rFonts w:ascii="Verdana" w:hAnsi="Verdana"/>
              </w:rPr>
              <w:t xml:space="preserve">Trajneri duhet të synojë të përdorë shembuj dhe demonstrime praktike dhe të botës reale për të theksuar të mësuarit dhe duhet të shtojë përvojat dhe njohuritë e tyre në prezantim me studimet e tyre të rastit kur është e përshtatshme.</w:t>
            </w:r>
          </w:p>
          <w:p w14:paraId="68F62E2E" w14:textId="11F1C9CC" w:rsidR="00B05B40" w:rsidRDefault="00B05B40" w:rsidP="00B05B40">
            <w:pPr>
              <w:spacing w:before="120" w:after="120" w:line="280" w:lineRule="exact"/>
              <w:jc w:val="both"/>
              <w:rPr>
                <w:sz w:val="18"/>
                <w:szCs w:val="18"/>
                <w:rFonts w:ascii="Verdana" w:eastAsia="Calibri" w:hAnsi="Verdana" w:cs="Times New Roman"/>
              </w:rPr>
            </w:pPr>
            <w:r>
              <w:rPr>
                <w:sz w:val="18"/>
                <w:rFonts w:ascii="Verdana" w:hAnsi="Verdana"/>
              </w:rPr>
              <w:t xml:space="preserve">Koha e caktuar për këtë seancë është 90 minuta, kështu që do të jetë e nevojshme që trajneri të përshtatë materialet për të përmbushur nevojat e secilës audiencë dhe këto mund të jenë të ndryshme, për shembull në varësi të sistemin ligjor në vendin ose vendet ku po zhvillohet trajnimi.</w:t>
            </w:r>
            <w:r>
              <w:rPr>
                <w:sz w:val="18"/>
                <w:rFonts w:ascii="Verdana" w:hAnsi="Verdana"/>
              </w:rPr>
              <w:t xml:space="preserve">  </w:t>
            </w:r>
            <w:r>
              <w:rPr>
                <w:sz w:val="18"/>
                <w:rFonts w:ascii="Verdana" w:hAnsi="Verdana"/>
              </w:rPr>
              <w:t xml:space="preserve">Siç është përmendur, ky material ofron një kornizë mbi të cilën trajneri duhet të përgatisë materialin e tyre për t'u dhënë, në përputhje me objektivat e mësimit.</w:t>
            </w:r>
            <w:r>
              <w:rPr>
                <w:sz w:val="18"/>
                <w:rFonts w:ascii="Verdana" w:hAnsi="Verdana"/>
              </w:rPr>
              <w:t xml:space="preserve"> </w:t>
            </w:r>
          </w:p>
          <w:p w14:paraId="5651C84F" w14:textId="19BA2EDF" w:rsidR="002030A4" w:rsidRDefault="002030A4" w:rsidP="00B05B40">
            <w:pPr>
              <w:spacing w:before="120" w:after="120" w:line="280" w:lineRule="exact"/>
              <w:jc w:val="both"/>
              <w:rPr>
                <w:sz w:val="18"/>
                <w:szCs w:val="18"/>
                <w:rFonts w:ascii="Verdana" w:eastAsia="Calibri" w:hAnsi="Verdana" w:cs="Times New Roman"/>
              </w:rPr>
            </w:pPr>
            <w:r>
              <w:rPr>
                <w:sz w:val="18"/>
                <w:rFonts w:ascii="Verdana" w:hAnsi="Verdana"/>
              </w:rPr>
              <w:t xml:space="preserve">Kohët e renditura më poshtë janë tregues të sasisë së kohës që duhet ndarë për secilën pjesë të mësimit.</w:t>
            </w:r>
            <w:r>
              <w:rPr>
                <w:sz w:val="18"/>
                <w:rFonts w:ascii="Verdana" w:hAnsi="Verdana"/>
              </w:rPr>
              <w:t xml:space="preserve"> </w:t>
            </w:r>
            <w:r>
              <w:rPr>
                <w:sz w:val="18"/>
                <w:rFonts w:ascii="Verdana" w:hAnsi="Verdana"/>
              </w:rPr>
              <w:t xml:space="preserve">Sipas nevojës, kjo do të thotë që disa pjesë do të trajtohen në më shumë se një nga tri seancat e përcaktuara.</w:t>
            </w:r>
          </w:p>
          <w:p w14:paraId="47569CB6" w14:textId="47444DEF" w:rsidR="003B6C3F" w:rsidRPr="002030A4" w:rsidRDefault="003B6C3F" w:rsidP="003B6C3F">
            <w:pPr>
              <w:pStyle w:val="bul1"/>
              <w:rPr>
                <w:rFonts w:ascii="Symbol" w:hAnsi="Symbol"/>
              </w:rPr>
            </w:pPr>
            <w:r>
              <w:t xml:space="preserve">Hyrja dhe hapja (Agjenda dhe objektivat e Seancës) (5 minuta)</w:t>
            </w:r>
          </w:p>
          <w:p w14:paraId="2469BEAA" w14:textId="7BC7DD12" w:rsidR="0057769C" w:rsidRPr="0057769C" w:rsidRDefault="003B6C3F" w:rsidP="0057769C">
            <w:pPr>
              <w:pStyle w:val="bul1"/>
            </w:pPr>
            <w:r>
              <w:t xml:space="preserve">Pjesa 1 - Shoqëria e Informacionit ’(10 minuta)</w:t>
            </w:r>
          </w:p>
          <w:p w14:paraId="04DF4640" w14:textId="6BEF4272" w:rsidR="0057769C" w:rsidRPr="0057769C" w:rsidRDefault="0057769C" w:rsidP="0057769C">
            <w:pPr>
              <w:pStyle w:val="bul1"/>
            </w:pPr>
            <w:r>
              <w:t xml:space="preserve">Pjesa 2 - Çfarë është krimi kibernetik?</w:t>
            </w:r>
            <w:r>
              <w:t xml:space="preserve"> </w:t>
            </w:r>
            <w:r>
              <w:t xml:space="preserve">(10 minuta)</w:t>
            </w:r>
          </w:p>
          <w:p w14:paraId="116942DF" w14:textId="35834E4E" w:rsidR="0057769C" w:rsidRPr="0057769C" w:rsidRDefault="0057769C" w:rsidP="0057769C">
            <w:pPr>
              <w:pStyle w:val="bul1"/>
            </w:pPr>
            <w:r>
              <w:t xml:space="preserve">Pjesa 3 - Konventa e Budapestit (10 minuta)</w:t>
            </w:r>
          </w:p>
          <w:p w14:paraId="0E371D5C" w14:textId="4A21B8DE" w:rsidR="0057769C" w:rsidRPr="0057769C" w:rsidRDefault="0057769C" w:rsidP="0057769C">
            <w:pPr>
              <w:pStyle w:val="bul1"/>
            </w:pPr>
            <w:r>
              <w:t xml:space="preserve">Pjesa 4 - Organizatat ndërkombëtare për krimin kibernetik (10 minuta)</w:t>
            </w:r>
          </w:p>
          <w:p w14:paraId="736E1CAC" w14:textId="2F7C2623" w:rsidR="0057769C" w:rsidRPr="0057769C" w:rsidRDefault="0057769C" w:rsidP="0057769C">
            <w:pPr>
              <w:pStyle w:val="bul1"/>
            </w:pPr>
            <w:r>
              <w:t xml:space="preserve">Pjesa 5 - Krimet kibernetike &amp; Rastet studimore (40 minuta)</w:t>
            </w:r>
          </w:p>
          <w:p w14:paraId="7662A3B0" w14:textId="77777777" w:rsidR="003B6C3F" w:rsidRPr="003F0A88" w:rsidRDefault="003B6C3F" w:rsidP="003B6C3F">
            <w:pPr>
              <w:pStyle w:val="bul1"/>
              <w:rPr>
                <w:rFonts w:ascii="Symbol" w:hAnsi="Symbol"/>
              </w:rPr>
            </w:pPr>
            <w:r>
              <w:t xml:space="preserve">Përmbledhje (5 minuta)</w:t>
            </w:r>
          </w:p>
          <w:p w14:paraId="30E24F00" w14:textId="77777777" w:rsidR="003F0A88" w:rsidRDefault="003F0A88" w:rsidP="003F0A88">
            <w:pPr>
              <w:pStyle w:val="bul1"/>
              <w:numPr>
                <w:ilvl w:val="0"/>
                <w:numId w:val="0"/>
              </w:numPr>
              <w:ind w:left="851" w:hanging="851"/>
              <w:rPr>
                <w:lang w:val="en-GB"/>
              </w:rPr>
            </w:pPr>
          </w:p>
          <w:p w14:paraId="5EFF4BEF" w14:textId="0D3E3DA1" w:rsidR="003F0A88" w:rsidRPr="003B6C3F" w:rsidRDefault="003F0A88" w:rsidP="003F0A88">
            <w:pPr>
              <w:pStyle w:val="bul1"/>
              <w:numPr>
                <w:ilvl w:val="0"/>
                <w:numId w:val="0"/>
              </w:numPr>
              <w:rPr>
                <w:rFonts w:ascii="Symbol" w:hAnsi="Symbol"/>
              </w:rPr>
            </w:pPr>
            <w:r>
              <w:t xml:space="preserve">Paketa e slajdeve për këtë prezantim është e gjerë - dhe ka udhëzime në seksionin e përmbajtjes së mësimit më poshtë për atë që është thelbësore dhe që mund të hiqet/fshihet nëse është e nevojshme</w:t>
            </w:r>
          </w:p>
        </w:tc>
      </w:tr>
      <w:tr w:rsidR="005A4E47" w:rsidRPr="00D82C18" w14:paraId="7760520D" w14:textId="77777777" w:rsidTr="001F724F">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b/>
                <w:sz w:val="28"/>
                <w:szCs w:val="28"/>
                <w:rFonts w:ascii="Verdana" w:hAnsi="Verdana"/>
              </w:rPr>
            </w:pPr>
            <w:r>
              <w:rPr>
                <w:b/>
                <w:sz w:val="28"/>
                <w:rFonts w:ascii="Verdana" w:hAnsi="Verdana"/>
              </w:rPr>
              <w:t xml:space="preserve">Përmbajtja e Mësimit</w:t>
            </w:r>
          </w:p>
        </w:tc>
      </w:tr>
      <w:tr w:rsidR="001F724F" w:rsidRPr="00D82C18" w14:paraId="57CC7AA4" w14:textId="77777777" w:rsidTr="001F724F">
        <w:trPr>
          <w:trHeight w:val="629"/>
        </w:trPr>
        <w:tc>
          <w:tcPr>
            <w:tcW w:w="1435" w:type="dxa"/>
            <w:shd w:val="clear" w:color="auto" w:fill="D9E2F3" w:themeFill="accent1" w:themeFillTint="33"/>
            <w:vAlign w:val="center"/>
          </w:tcPr>
          <w:p w14:paraId="4538C338" w14:textId="77777777" w:rsidR="00D82C18" w:rsidRPr="00E13BE7" w:rsidRDefault="00E13BE7" w:rsidP="00CB3026">
            <w:pPr>
              <w:jc w:val="center"/>
              <w:rPr>
                <w:b/>
                <w:sz w:val="22"/>
                <w:szCs w:val="22"/>
                <w:rFonts w:ascii="Verdana" w:hAnsi="Verdana"/>
              </w:rPr>
            </w:pPr>
            <w:r>
              <w:rPr>
                <w:b/>
                <w:sz w:val="22"/>
                <w:rFonts w:ascii="Verdana" w:hAnsi="Verdana"/>
              </w:rPr>
              <w:t xml:space="preserve">Numrat e slajdeve</w:t>
            </w:r>
          </w:p>
        </w:tc>
        <w:tc>
          <w:tcPr>
            <w:tcW w:w="7575" w:type="dxa"/>
            <w:gridSpan w:val="2"/>
            <w:shd w:val="clear" w:color="auto" w:fill="D9E2F3" w:themeFill="accent1" w:themeFillTint="33"/>
            <w:vAlign w:val="center"/>
          </w:tcPr>
          <w:p w14:paraId="2DA616FC" w14:textId="77777777" w:rsidR="00D82C18" w:rsidRPr="00E13BE7" w:rsidRDefault="00E13BE7">
            <w:pPr>
              <w:rPr>
                <w:b/>
                <w:sz w:val="22"/>
                <w:szCs w:val="22"/>
                <w:rFonts w:ascii="Verdana" w:hAnsi="Verdana"/>
              </w:rPr>
            </w:pPr>
            <w:r>
              <w:rPr>
                <w:b/>
                <w:sz w:val="22"/>
                <w:rFonts w:ascii="Verdana" w:hAnsi="Verdana"/>
              </w:rPr>
              <w:t xml:space="preserve">Përmbajtja</w:t>
            </w:r>
          </w:p>
        </w:tc>
      </w:tr>
      <w:tr w:rsidR="001F724F" w:rsidRPr="00D82C18" w14:paraId="11A12D7E" w14:textId="77777777" w:rsidTr="001F724F">
        <w:tc>
          <w:tcPr>
            <w:tcW w:w="1435" w:type="dxa"/>
            <w:vAlign w:val="center"/>
          </w:tcPr>
          <w:p w14:paraId="346D0F44" w14:textId="5FABF04D" w:rsidR="00D82C18" w:rsidRDefault="003630ED" w:rsidP="00F00738">
            <w:pPr>
              <w:spacing w:before="120" w:after="120" w:line="280" w:lineRule="exact"/>
              <w:jc w:val="center"/>
              <w:rPr>
                <w:sz w:val="18"/>
                <w:szCs w:val="18"/>
                <w:rFonts w:ascii="Verdana" w:hAnsi="Verdana"/>
              </w:rPr>
            </w:pPr>
            <w:r>
              <w:rPr>
                <w:sz w:val="18"/>
                <w:rFonts w:ascii="Verdana" w:hAnsi="Verdana"/>
              </w:rPr>
              <w:t xml:space="preserve">1 deri 4</w:t>
            </w:r>
          </w:p>
          <w:p w14:paraId="5A89CF27" w14:textId="56EF626B" w:rsidR="001F724F" w:rsidRPr="00F62A15" w:rsidRDefault="001F724F" w:rsidP="00F00738">
            <w:pPr>
              <w:spacing w:before="120" w:after="120" w:line="280" w:lineRule="exact"/>
              <w:jc w:val="center"/>
              <w:rPr>
                <w:sz w:val="18"/>
                <w:szCs w:val="18"/>
                <w:rFonts w:ascii="Verdana" w:hAnsi="Verdana"/>
              </w:rPr>
            </w:pPr>
            <w:r>
              <w:rPr>
                <w:sz w:val="18"/>
                <w:rFonts w:ascii="Verdana" w:hAnsi="Verdana"/>
              </w:rPr>
              <w:t xml:space="preserve">Të domosdoshme</w:t>
            </w:r>
          </w:p>
        </w:tc>
        <w:tc>
          <w:tcPr>
            <w:tcW w:w="7575" w:type="dxa"/>
            <w:gridSpan w:val="2"/>
            <w:vAlign w:val="center"/>
          </w:tcPr>
          <w:p w14:paraId="713B31D1" w14:textId="77777777" w:rsidR="003630ED" w:rsidRDefault="0077656C" w:rsidP="0077656C">
            <w:pPr>
              <w:spacing w:before="120" w:after="120" w:line="280" w:lineRule="exact"/>
              <w:jc w:val="both"/>
              <w:rPr>
                <w:sz w:val="18"/>
                <w:szCs w:val="18"/>
                <w:rFonts w:ascii="Verdana" w:eastAsia="Times New Roman" w:hAnsi="Verdana"/>
              </w:rPr>
            </w:pPr>
            <w:r>
              <w:rPr>
                <w:color w:val="000000" w:themeColor="text1"/>
                <w:sz w:val="18"/>
                <w:rFonts w:ascii="Verdana" w:hAnsi="Verdana"/>
              </w:rPr>
              <w:t xml:space="preserve">Slajdet e parë janë hyrja në seancë dhe përfshijnë Agjendën dhe objektivat e seancës.</w:t>
            </w:r>
            <w:r>
              <w:rPr>
                <w:color w:val="000000" w:themeColor="text1"/>
                <w:sz w:val="18"/>
                <w:rFonts w:ascii="Verdana" w:hAnsi="Verdana"/>
              </w:rPr>
              <w:t xml:space="preserve">  </w:t>
            </w:r>
            <w:r>
              <w:rPr>
                <w:color w:val="000000" w:themeColor="text1"/>
                <w:sz w:val="18"/>
                <w:rFonts w:ascii="Verdana" w:hAnsi="Verdana"/>
              </w:rPr>
              <w:t xml:space="preserve">Trajneri duhet të sigurojë që këto të ndryshohen aty ku është vendosur të përjashtohen grupe slajdesh ose fusha tematike.</w:t>
            </w:r>
            <w:r>
              <w:rPr>
                <w:rFonts w:ascii="Verdana" w:hAnsi="Verdana"/>
              </w:rPr>
              <w:t xml:space="preserve"> </w:t>
            </w:r>
            <w:r>
              <w:rPr>
                <w:sz w:val="18"/>
                <w:rFonts w:ascii="Verdana" w:hAnsi="Verdana"/>
              </w:rPr>
              <w:t xml:space="preserve">Këto slajde vendosin skenën se kah po shkon prezantimi.</w:t>
            </w:r>
          </w:p>
          <w:p w14:paraId="36345B59" w14:textId="2BDAC6D7" w:rsidR="00E71A59" w:rsidRPr="009D1FFB" w:rsidRDefault="00E71A59" w:rsidP="0077656C">
            <w:pPr>
              <w:spacing w:before="120" w:after="120" w:line="280" w:lineRule="exact"/>
              <w:jc w:val="both"/>
              <w:rPr>
                <w:color w:val="000000" w:themeColor="text1"/>
                <w:sz w:val="18"/>
                <w:szCs w:val="18"/>
                <w:rFonts w:ascii="Verdana" w:hAnsi="Verdana"/>
              </w:rPr>
            </w:pPr>
            <w:r>
              <w:rPr>
                <w:sz w:val="18"/>
                <w:rFonts w:ascii="Verdana" w:hAnsi="Verdana"/>
              </w:rPr>
              <w:t xml:space="preserve">Disa nga përmbajtjet e pjesës hyrëse në teknologji janë sjellë në këtë pjesë.</w:t>
            </w:r>
          </w:p>
        </w:tc>
      </w:tr>
      <w:tr w:rsidR="001F724F" w:rsidRPr="009D1FFB" w14:paraId="2837A9BA" w14:textId="77777777" w:rsidTr="001F724F">
        <w:trPr>
          <w:trHeight w:val="1079"/>
        </w:trPr>
        <w:tc>
          <w:tcPr>
            <w:tcW w:w="1435" w:type="dxa"/>
            <w:vAlign w:val="center"/>
          </w:tcPr>
          <w:p w14:paraId="389F7DFC" w14:textId="2D23B275" w:rsidR="009D1FFB" w:rsidRDefault="001723EB"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5 deri 16</w:t>
            </w:r>
          </w:p>
          <w:p w14:paraId="1FC0D9FA" w14:textId="59B10197" w:rsidR="001F724F" w:rsidRPr="00FE1428" w:rsidRDefault="001F724F"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Të rëndësishëm</w:t>
            </w:r>
          </w:p>
        </w:tc>
        <w:tc>
          <w:tcPr>
            <w:tcW w:w="7575" w:type="dxa"/>
            <w:gridSpan w:val="2"/>
            <w:vAlign w:val="center"/>
          </w:tcPr>
          <w:p w14:paraId="57AC0FC7" w14:textId="50135EBF" w:rsidR="001723EB" w:rsidRDefault="001723EB"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Ky seksion synon të prezantojë para pjesëmarrësve Shoqërinë e Informacionit - dhe pse kjo ka refuzuar fenomenin e Krimit Kibernetik.</w:t>
            </w:r>
          </w:p>
          <w:p w14:paraId="44771A45" w14:textId="36FACCDA" w:rsidR="009D1FFB" w:rsidRPr="00FE1428" w:rsidRDefault="001723EB"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Trajnerët mund të zgjedhin ta përshkruajnë këtë në mënyrën e tyre, por ky grup slajdesh do të ofrojë një pasqyrë të sfondit dhe çështjeve.</w:t>
            </w:r>
          </w:p>
        </w:tc>
      </w:tr>
      <w:tr w:rsidR="001F724F" w:rsidRPr="009D1FFB" w14:paraId="5289EE45" w14:textId="77777777" w:rsidTr="001F724F">
        <w:trPr>
          <w:trHeight w:val="1079"/>
        </w:trPr>
        <w:tc>
          <w:tcPr>
            <w:tcW w:w="1435" w:type="dxa"/>
            <w:vAlign w:val="center"/>
          </w:tcPr>
          <w:p w14:paraId="34FBDCBF" w14:textId="6D70643F" w:rsidR="009D1FFB" w:rsidRDefault="00E71A59"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17 deri 23</w:t>
            </w:r>
          </w:p>
          <w:p w14:paraId="67E12C95" w14:textId="69865988" w:rsidR="001F724F" w:rsidRPr="00FE1428" w:rsidRDefault="00D5036D"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Të domosdoshme</w:t>
            </w:r>
          </w:p>
        </w:tc>
        <w:tc>
          <w:tcPr>
            <w:tcW w:w="7575" w:type="dxa"/>
            <w:gridSpan w:val="2"/>
            <w:vAlign w:val="center"/>
          </w:tcPr>
          <w:p w14:paraId="51A2B330" w14:textId="77777777" w:rsidR="001723EB" w:rsidRDefault="00A84D48" w:rsidP="00E71A59">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Këto slajde merren me prezantimin e konceptit të krimit kibernetik - dhe përpjekjen për të përshkruar, në mungesë të një përkufizimi zyrtar, se çfarë është.</w:t>
            </w:r>
          </w:p>
          <w:p w14:paraId="447834AF" w14:textId="4D3C42DC" w:rsidR="00E71A59" w:rsidRPr="00FE1428" w:rsidRDefault="00E71A59" w:rsidP="00E71A59">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Trajnerët mund t'i bëjnë pjesëmarrësit të formojnë mendimet e tyre mbi këtë temë - duke i lejuar ata të shprehen - por duke sjellë pikëpamjet kolektive në slajdin 24 ku ka një përshkrim 'gjithëpërfshirës’.</w:t>
            </w:r>
          </w:p>
        </w:tc>
      </w:tr>
      <w:tr w:rsidR="001F724F" w:rsidRPr="009D1FFB" w14:paraId="2C17F78E" w14:textId="77777777" w:rsidTr="001F724F">
        <w:trPr>
          <w:trHeight w:val="1079"/>
        </w:trPr>
        <w:tc>
          <w:tcPr>
            <w:tcW w:w="1435" w:type="dxa"/>
            <w:vAlign w:val="center"/>
          </w:tcPr>
          <w:p w14:paraId="2B197983" w14:textId="236F4955" w:rsidR="009D1FFB" w:rsidRDefault="00E71A59"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24 deri 33</w:t>
            </w:r>
          </w:p>
          <w:p w14:paraId="0E29A7F0" w14:textId="0B576C76" w:rsidR="001F724F" w:rsidRPr="00FE1428" w:rsidRDefault="001F724F"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Të domosdoshme</w:t>
            </w:r>
          </w:p>
        </w:tc>
        <w:tc>
          <w:tcPr>
            <w:tcW w:w="7575" w:type="dxa"/>
            <w:gridSpan w:val="2"/>
            <w:vAlign w:val="center"/>
          </w:tcPr>
          <w:p w14:paraId="6F1C4F38" w14:textId="4018A036" w:rsidR="00D5036D" w:rsidRPr="00FE1428" w:rsidRDefault="00E71A59"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Kjo pjesë flet për Konventën e Budapestit dhe i jep një sfond asaj dhe ekzistencës së saj.</w:t>
            </w:r>
            <w:r>
              <w:rPr>
                <w:color w:val="000000" w:themeColor="text1"/>
                <w:sz w:val="18"/>
                <w:rFonts w:ascii="Verdana" w:hAnsi="Verdana"/>
              </w:rPr>
              <w:t xml:space="preserve"> </w:t>
            </w:r>
            <w:r>
              <w:rPr>
                <w:color w:val="000000" w:themeColor="text1"/>
                <w:sz w:val="18"/>
                <w:rFonts w:ascii="Verdana" w:hAnsi="Verdana"/>
              </w:rPr>
              <w:t xml:space="preserve">Meqë kjo zbërthehet më vonë në një kurs të shkurtër, kjo është më shumë si një hyrje.</w:t>
            </w:r>
          </w:p>
        </w:tc>
      </w:tr>
      <w:tr w:rsidR="001F724F" w:rsidRPr="009D1FFB" w14:paraId="7D254AC0" w14:textId="77777777" w:rsidTr="001F724F">
        <w:trPr>
          <w:trHeight w:val="1079"/>
        </w:trPr>
        <w:tc>
          <w:tcPr>
            <w:tcW w:w="1435" w:type="dxa"/>
            <w:vAlign w:val="center"/>
          </w:tcPr>
          <w:p w14:paraId="33E8A47D" w14:textId="43D6C7AE" w:rsidR="009D1FFB" w:rsidRDefault="00E71A59"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34 deri 51</w:t>
            </w:r>
          </w:p>
          <w:p w14:paraId="2E80BEC1" w14:textId="6F9F96C5" w:rsidR="001F724F" w:rsidRPr="00FE1428" w:rsidRDefault="00D5036D"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Të rëndësishëm</w:t>
            </w:r>
          </w:p>
        </w:tc>
        <w:tc>
          <w:tcPr>
            <w:tcW w:w="7575" w:type="dxa"/>
            <w:gridSpan w:val="2"/>
            <w:vAlign w:val="center"/>
          </w:tcPr>
          <w:p w14:paraId="14C2ACF7" w14:textId="77777777" w:rsidR="009D1FFB" w:rsidRDefault="009A7C8E" w:rsidP="00E71A59">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Ky seksion përpiqet të identifikojë organizatat përkatëse që janë të përfshira në hetimin e aktiviteteve të Krimit Kibernetik mbi një bazë ndërkombëtare.</w:t>
            </w:r>
          </w:p>
          <w:p w14:paraId="1C22C67C" w14:textId="029DA805" w:rsidR="00E71A59" w:rsidRPr="00FE1428" w:rsidRDefault="00E71A59" w:rsidP="00E71A59">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Përsëri, trajneri mund t'u lejojë pjesëmarrësve mundësinë për t'i renditur ato dhe ndoshta, me kohën nëse lejon, të përshkruajnë çdo ndërveprim që ata kanë pasur me to.</w:t>
            </w:r>
          </w:p>
        </w:tc>
      </w:tr>
      <w:tr w:rsidR="001F724F" w:rsidRPr="009D1FFB" w14:paraId="7DC867CB" w14:textId="77777777" w:rsidTr="001F724F">
        <w:trPr>
          <w:trHeight w:val="1079"/>
        </w:trPr>
        <w:tc>
          <w:tcPr>
            <w:tcW w:w="1435" w:type="dxa"/>
            <w:vAlign w:val="center"/>
          </w:tcPr>
          <w:p w14:paraId="4666C405" w14:textId="448A603E" w:rsidR="009D1FFB" w:rsidRDefault="0056191F"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52 deri 98</w:t>
            </w:r>
          </w:p>
          <w:p w14:paraId="0D6E92F8" w14:textId="6F7AD8AB" w:rsidR="001F724F" w:rsidRPr="00FE1428" w:rsidRDefault="001F724F" w:rsidP="001F724F">
            <w:pPr>
              <w:spacing w:line="280" w:lineRule="exact"/>
              <w:jc w:val="center"/>
              <w:rPr>
                <w:color w:val="000000" w:themeColor="text1"/>
                <w:sz w:val="18"/>
                <w:szCs w:val="18"/>
                <w:rFonts w:ascii="Verdana" w:hAnsi="Verdana"/>
              </w:rPr>
            </w:pPr>
            <w:r>
              <w:rPr>
                <w:color w:val="000000" w:themeColor="text1"/>
                <w:sz w:val="18"/>
                <w:rFonts w:ascii="Verdana" w:hAnsi="Verdana"/>
              </w:rPr>
              <w:t xml:space="preserve">Të domosdoshme</w:t>
            </w:r>
          </w:p>
        </w:tc>
        <w:tc>
          <w:tcPr>
            <w:tcW w:w="7575" w:type="dxa"/>
            <w:gridSpan w:val="2"/>
            <w:vAlign w:val="center"/>
          </w:tcPr>
          <w:p w14:paraId="369BF7EA" w14:textId="77777777" w:rsidR="00603C3A" w:rsidRDefault="009A7C8E" w:rsidP="00E71A59">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Kjo pjesë lejon trajnerin të punojë në shumë prej krimeve kibernetike dhe t'i përshkruajë ato - duke lejuar kohë për të diskutuar çështjet dhe logjistikën në zbulimin dhe hetimin e tyre.</w:t>
            </w:r>
          </w:p>
          <w:p w14:paraId="4C14021F" w14:textId="77777777" w:rsidR="00D6490C" w:rsidRDefault="00D6490C" w:rsidP="00E71A59">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Pjesa e hershme e seancës është përshkrimi - ndërsa në fund të seancës janë prezantime mbi trendet që po shihen - dhe llojet e krimeve që gjyqtarët dhe prokurorët mund të kenë para tyre.</w:t>
            </w:r>
          </w:p>
          <w:p w14:paraId="6608E1B9" w14:textId="3D1CFED8" w:rsidR="00D6490C" w:rsidRPr="00FE1428" w:rsidRDefault="00D6490C" w:rsidP="00E71A59">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Trajnerët mund të përdorin shembujt e tyre të hasjes në këto lloje krimi nëse është e nevojshme duke prezantuar studimet e tyre të rastit kur është e përshtatshme.</w:t>
            </w:r>
          </w:p>
        </w:tc>
      </w:tr>
      <w:tr w:rsidR="001F724F" w:rsidRPr="009D1FFB" w14:paraId="1B49C2DB" w14:textId="77777777" w:rsidTr="001F724F">
        <w:trPr>
          <w:trHeight w:val="1079"/>
        </w:trPr>
        <w:tc>
          <w:tcPr>
            <w:tcW w:w="1435" w:type="dxa"/>
            <w:vAlign w:val="center"/>
          </w:tcPr>
          <w:p w14:paraId="58A754E5" w14:textId="212DB96B" w:rsidR="009D1FFB" w:rsidRDefault="0056191F" w:rsidP="001F724F">
            <w:pPr>
              <w:spacing w:before="120" w:after="120" w:line="280" w:lineRule="exact"/>
              <w:jc w:val="center"/>
              <w:rPr>
                <w:color w:val="000000" w:themeColor="text1"/>
                <w:sz w:val="18"/>
                <w:szCs w:val="18"/>
                <w:rFonts w:ascii="Verdana" w:hAnsi="Verdana"/>
              </w:rPr>
            </w:pPr>
            <w:r>
              <w:rPr>
                <w:color w:val="000000" w:themeColor="text1"/>
                <w:sz w:val="18"/>
                <w:rFonts w:ascii="Verdana" w:hAnsi="Verdana"/>
              </w:rPr>
              <w:t xml:space="preserve">99 deri 100</w:t>
            </w:r>
          </w:p>
          <w:p w14:paraId="5F457997" w14:textId="2670B181" w:rsidR="001F724F" w:rsidRPr="00FE1428" w:rsidRDefault="001F724F" w:rsidP="001F724F">
            <w:pPr>
              <w:spacing w:before="120" w:after="120" w:line="280" w:lineRule="exact"/>
              <w:jc w:val="center"/>
              <w:rPr>
                <w:color w:val="000000" w:themeColor="text1"/>
                <w:sz w:val="18"/>
                <w:szCs w:val="18"/>
                <w:rFonts w:ascii="Verdana" w:hAnsi="Verdana"/>
              </w:rPr>
            </w:pPr>
            <w:r>
              <w:rPr>
                <w:color w:val="000000" w:themeColor="text1"/>
                <w:sz w:val="18"/>
                <w:rFonts w:ascii="Verdana" w:hAnsi="Verdana"/>
              </w:rPr>
              <w:t xml:space="preserve">Të domosdoshme</w:t>
            </w:r>
          </w:p>
        </w:tc>
        <w:tc>
          <w:tcPr>
            <w:tcW w:w="7575" w:type="dxa"/>
            <w:gridSpan w:val="2"/>
            <w:vAlign w:val="center"/>
          </w:tcPr>
          <w:p w14:paraId="07567817" w14:textId="60B0CB5A" w:rsidR="009D1FFB" w:rsidRPr="00FE1428" w:rsidRDefault="003253DC" w:rsidP="00CB3026">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Seksioni i fundit jep mundësinë që trajneri të reflektojë në atë që është mësuar në orë dhe të sigurojë që objektivat janë përmbushur.</w:t>
            </w:r>
            <w:r>
              <w:rPr>
                <w:color w:val="000000" w:themeColor="text1"/>
                <w:sz w:val="18"/>
                <w:rFonts w:ascii="Verdana" w:hAnsi="Verdana"/>
              </w:rPr>
              <w:t xml:space="preserve"> </w:t>
            </w:r>
            <w:r>
              <w:rPr>
                <w:color w:val="000000" w:themeColor="text1"/>
                <w:sz w:val="18"/>
                <w:rFonts w:ascii="Verdana" w:hAnsi="Verdana"/>
              </w:rPr>
              <w:t xml:space="preserve">Ai gjithashtu u ofron pjesëmarrësve të njëjtën mundësi dhe të ngrenë çdo çështje që mund të kërkojë sqarime.</w:t>
            </w:r>
          </w:p>
        </w:tc>
      </w:tr>
      <w:tr w:rsidR="003253DC" w:rsidRPr="00D82C18" w14:paraId="2ECF09B7" w14:textId="77777777" w:rsidTr="001F724F">
        <w:trPr>
          <w:trHeight w:val="1412"/>
        </w:trPr>
        <w:tc>
          <w:tcPr>
            <w:tcW w:w="9010" w:type="dxa"/>
            <w:gridSpan w:val="3"/>
            <w:vAlign w:val="center"/>
          </w:tcPr>
          <w:p w14:paraId="5630E2B7" w14:textId="77777777" w:rsidR="003253DC" w:rsidRPr="00661034" w:rsidRDefault="003253DC" w:rsidP="00661034">
            <w:pPr>
              <w:spacing w:before="120" w:after="120" w:line="280" w:lineRule="exact"/>
              <w:rPr>
                <w:b/>
                <w:color w:val="000000" w:themeColor="text1"/>
                <w:sz w:val="22"/>
                <w:szCs w:val="22"/>
                <w:rFonts w:ascii="Verdana" w:hAnsi="Verdana"/>
              </w:rPr>
            </w:pPr>
            <w:r>
              <w:rPr>
                <w:b/>
                <w:color w:val="000000" w:themeColor="text1"/>
                <w:sz w:val="22"/>
                <w:rFonts w:ascii="Verdana" w:hAnsi="Verdana"/>
              </w:rPr>
              <w:t xml:space="preserve">Ushtrime praktike</w:t>
            </w:r>
          </w:p>
          <w:p w14:paraId="505DEC2C" w14:textId="55634807" w:rsidR="00661034" w:rsidRPr="00661034" w:rsidRDefault="00661034" w:rsidP="00661034">
            <w:pPr>
              <w:tabs>
                <w:tab w:val="left" w:pos="426"/>
                <w:tab w:val="left" w:pos="851"/>
              </w:tabs>
              <w:spacing w:after="120" w:line="280" w:lineRule="exact"/>
              <w:rPr>
                <w:sz w:val="18"/>
                <w:szCs w:val="18"/>
                <w:rFonts w:ascii="Verdana" w:eastAsia="Times New Roman" w:hAnsi="Verdana" w:cs="Calibri"/>
              </w:rPr>
            </w:pPr>
            <w:r>
              <w:rPr>
                <w:sz w:val="18"/>
                <w:rFonts w:ascii="Verdana" w:hAnsi="Verdana"/>
              </w:rPr>
              <w:t xml:space="preserve">Asnjë ushtrim praktik nuk parashihet për këtë sesion të veçantë pasi nuk ka asnjë garanci se niveli i teknologjisë dhe qasjes në internet për të dhënë ushtrime të tilla do të jenë në dispozicion në të gjitha vendet.</w:t>
            </w:r>
            <w:r>
              <w:rPr>
                <w:sz w:val="18"/>
                <w:rFonts w:ascii="Verdana" w:hAnsi="Verdana"/>
              </w:rPr>
              <w:t xml:space="preserve"> </w:t>
            </w:r>
          </w:p>
          <w:p w14:paraId="04D65D89" w14:textId="5CCF192C" w:rsidR="003253DC" w:rsidRPr="00661034" w:rsidRDefault="00661034" w:rsidP="00661034">
            <w:pPr>
              <w:tabs>
                <w:tab w:val="left" w:pos="426"/>
                <w:tab w:val="left" w:pos="851"/>
              </w:tabs>
              <w:spacing w:after="120" w:line="280" w:lineRule="exact"/>
              <w:rPr>
                <w:sz w:val="18"/>
                <w:szCs w:val="18"/>
                <w:rFonts w:ascii="Verdana" w:eastAsia="Times New Roman" w:hAnsi="Verdana" w:cs="Calibri"/>
              </w:rPr>
            </w:pPr>
            <w:r>
              <w:rPr>
                <w:sz w:val="18"/>
                <w:rFonts w:ascii="Verdana" w:hAnsi="Verdana"/>
              </w:rPr>
              <w:t xml:space="preserve">Trajnerët në të ardhmen mund të synojnë të plotësojnë mësimin duke shtuar ushtrime, ku trajnimi jepet në një mjedis ku objektet janë të përshtatshme.</w:t>
            </w:r>
          </w:p>
        </w:tc>
      </w:tr>
      <w:tr w:rsidR="003253DC" w:rsidRPr="00D82C18" w14:paraId="603967A2" w14:textId="77777777" w:rsidTr="001F724F">
        <w:tc>
          <w:tcPr>
            <w:tcW w:w="9010" w:type="dxa"/>
            <w:gridSpan w:val="3"/>
            <w:vAlign w:val="center"/>
          </w:tcPr>
          <w:p w14:paraId="090B3430" w14:textId="77777777" w:rsidR="003253DC" w:rsidRPr="00661034" w:rsidRDefault="003253DC" w:rsidP="00661034">
            <w:pPr>
              <w:spacing w:before="120" w:after="120" w:line="280" w:lineRule="exact"/>
              <w:rPr>
                <w:b/>
                <w:color w:val="000000" w:themeColor="text1"/>
                <w:sz w:val="22"/>
                <w:szCs w:val="22"/>
                <w:rFonts w:ascii="Verdana" w:hAnsi="Verdana"/>
              </w:rPr>
            </w:pPr>
            <w:r>
              <w:rPr>
                <w:b/>
                <w:color w:val="000000" w:themeColor="text1"/>
                <w:sz w:val="22"/>
                <w:rFonts w:ascii="Verdana" w:hAnsi="Verdana"/>
              </w:rPr>
              <w:t xml:space="preserve">Vlerësimi/Kontrolli i njohurive</w:t>
            </w:r>
          </w:p>
          <w:p w14:paraId="4496975B" w14:textId="19FD66F4" w:rsidR="003253DC" w:rsidRPr="00661034" w:rsidRDefault="00661034" w:rsidP="00661034">
            <w:pPr>
              <w:spacing w:before="120" w:after="120" w:line="280" w:lineRule="exact"/>
              <w:rPr>
                <w:color w:val="000000" w:themeColor="text1"/>
                <w:sz w:val="18"/>
                <w:szCs w:val="18"/>
                <w:rFonts w:ascii="Verdana" w:hAnsi="Verdana"/>
              </w:rPr>
            </w:pPr>
            <w:r>
              <w:rPr>
                <w:sz w:val="18"/>
                <w:rFonts w:ascii="Verdana" w:hAnsi="Verdana"/>
              </w:rPr>
              <w:t xml:space="preserve">Asnjë kontroll specifik i njohurive përveç asaj të renditur më sipër nuk parashihet aktualisht për këtë kurs.</w:t>
            </w:r>
            <w:r>
              <w:rPr>
                <w:sz w:val="18"/>
                <w:rFonts w:ascii="Verdana" w:hAnsi="Verdana"/>
              </w:rPr>
              <w:t xml:space="preserve"> </w:t>
            </w:r>
            <w:r>
              <w:rPr>
                <w:sz w:val="18"/>
                <w:rFonts w:ascii="Verdana" w:hAnsi="Verdana"/>
              </w:rPr>
              <w:t xml:space="preserve">Nuk është kërkuar ndonjë vlerësim zyrtar.</w:t>
            </w:r>
          </w:p>
        </w:tc>
      </w:tr>
    </w:tbl>
    <w:p w14:paraId="15498912" w14:textId="77777777" w:rsidR="00D82C18" w:rsidRPr="00D82C18" w:rsidRDefault="00D82C18">
      <w:pPr>
        <w:rPr>
          <w:rFonts w:ascii="Verdana" w:hAnsi="Verdana"/>
        </w:rPr>
      </w:pPr>
    </w:p>
    <w:sectPr w:rsidR="00D82C18" w:rsidRPr="00D82C18"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Verdana"/>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2C1605D"/>
    <w:multiLevelType w:val="hybridMultilevel"/>
    <w:tmpl w:val="114E4CBA"/>
    <w:lvl w:ilvl="0" w:tplc="D94E24BC">
      <w:start w:val="1"/>
      <w:numFmt w:val="bullet"/>
      <w:lvlText w:val="•"/>
      <w:lvlJc w:val="left"/>
      <w:pPr>
        <w:tabs>
          <w:tab w:val="num" w:pos="720"/>
        </w:tabs>
        <w:ind w:left="720" w:hanging="360"/>
      </w:pPr>
      <w:rPr>
        <w:rFonts w:ascii="Arial" w:hAnsi="Arial" w:hint="default"/>
      </w:rPr>
    </w:lvl>
    <w:lvl w:ilvl="1" w:tplc="B1745418" w:tentative="1">
      <w:start w:val="1"/>
      <w:numFmt w:val="bullet"/>
      <w:lvlText w:val="•"/>
      <w:lvlJc w:val="left"/>
      <w:pPr>
        <w:tabs>
          <w:tab w:val="num" w:pos="1440"/>
        </w:tabs>
        <w:ind w:left="1440" w:hanging="360"/>
      </w:pPr>
      <w:rPr>
        <w:rFonts w:ascii="Arial" w:hAnsi="Arial" w:hint="default"/>
      </w:rPr>
    </w:lvl>
    <w:lvl w:ilvl="2" w:tplc="B82017F8" w:tentative="1">
      <w:start w:val="1"/>
      <w:numFmt w:val="bullet"/>
      <w:lvlText w:val="•"/>
      <w:lvlJc w:val="left"/>
      <w:pPr>
        <w:tabs>
          <w:tab w:val="num" w:pos="2160"/>
        </w:tabs>
        <w:ind w:left="2160" w:hanging="360"/>
      </w:pPr>
      <w:rPr>
        <w:rFonts w:ascii="Arial" w:hAnsi="Arial" w:hint="default"/>
      </w:rPr>
    </w:lvl>
    <w:lvl w:ilvl="3" w:tplc="067C0F5C" w:tentative="1">
      <w:start w:val="1"/>
      <w:numFmt w:val="bullet"/>
      <w:lvlText w:val="•"/>
      <w:lvlJc w:val="left"/>
      <w:pPr>
        <w:tabs>
          <w:tab w:val="num" w:pos="2880"/>
        </w:tabs>
        <w:ind w:left="2880" w:hanging="360"/>
      </w:pPr>
      <w:rPr>
        <w:rFonts w:ascii="Arial" w:hAnsi="Arial" w:hint="default"/>
      </w:rPr>
    </w:lvl>
    <w:lvl w:ilvl="4" w:tplc="8194ABD6" w:tentative="1">
      <w:start w:val="1"/>
      <w:numFmt w:val="bullet"/>
      <w:lvlText w:val="•"/>
      <w:lvlJc w:val="left"/>
      <w:pPr>
        <w:tabs>
          <w:tab w:val="num" w:pos="3600"/>
        </w:tabs>
        <w:ind w:left="3600" w:hanging="360"/>
      </w:pPr>
      <w:rPr>
        <w:rFonts w:ascii="Arial" w:hAnsi="Arial" w:hint="default"/>
      </w:rPr>
    </w:lvl>
    <w:lvl w:ilvl="5" w:tplc="DE0061F6" w:tentative="1">
      <w:start w:val="1"/>
      <w:numFmt w:val="bullet"/>
      <w:lvlText w:val="•"/>
      <w:lvlJc w:val="left"/>
      <w:pPr>
        <w:tabs>
          <w:tab w:val="num" w:pos="4320"/>
        </w:tabs>
        <w:ind w:left="4320" w:hanging="360"/>
      </w:pPr>
      <w:rPr>
        <w:rFonts w:ascii="Arial" w:hAnsi="Arial" w:hint="default"/>
      </w:rPr>
    </w:lvl>
    <w:lvl w:ilvl="6" w:tplc="B7BAD0D8" w:tentative="1">
      <w:start w:val="1"/>
      <w:numFmt w:val="bullet"/>
      <w:lvlText w:val="•"/>
      <w:lvlJc w:val="left"/>
      <w:pPr>
        <w:tabs>
          <w:tab w:val="num" w:pos="5040"/>
        </w:tabs>
        <w:ind w:left="5040" w:hanging="360"/>
      </w:pPr>
      <w:rPr>
        <w:rFonts w:ascii="Arial" w:hAnsi="Arial" w:hint="default"/>
      </w:rPr>
    </w:lvl>
    <w:lvl w:ilvl="7" w:tplc="6C9E490C" w:tentative="1">
      <w:start w:val="1"/>
      <w:numFmt w:val="bullet"/>
      <w:lvlText w:val="•"/>
      <w:lvlJc w:val="left"/>
      <w:pPr>
        <w:tabs>
          <w:tab w:val="num" w:pos="5760"/>
        </w:tabs>
        <w:ind w:left="5760" w:hanging="360"/>
      </w:pPr>
      <w:rPr>
        <w:rFonts w:ascii="Arial" w:hAnsi="Arial" w:hint="default"/>
      </w:rPr>
    </w:lvl>
    <w:lvl w:ilvl="8" w:tplc="B19A06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B8551A"/>
    <w:multiLevelType w:val="hybridMultilevel"/>
    <w:tmpl w:val="3A961B3E"/>
    <w:lvl w:ilvl="0" w:tplc="5F884B4E">
      <w:start w:val="1"/>
      <w:numFmt w:val="bullet"/>
      <w:lvlText w:val="•"/>
      <w:lvlJc w:val="left"/>
      <w:pPr>
        <w:tabs>
          <w:tab w:val="num" w:pos="720"/>
        </w:tabs>
        <w:ind w:left="720" w:hanging="360"/>
      </w:pPr>
      <w:rPr>
        <w:rFonts w:ascii="Arial" w:hAnsi="Arial" w:hint="default"/>
      </w:rPr>
    </w:lvl>
    <w:lvl w:ilvl="1" w:tplc="8660895E" w:tentative="1">
      <w:start w:val="1"/>
      <w:numFmt w:val="bullet"/>
      <w:lvlText w:val="•"/>
      <w:lvlJc w:val="left"/>
      <w:pPr>
        <w:tabs>
          <w:tab w:val="num" w:pos="1440"/>
        </w:tabs>
        <w:ind w:left="1440" w:hanging="360"/>
      </w:pPr>
      <w:rPr>
        <w:rFonts w:ascii="Arial" w:hAnsi="Arial" w:hint="default"/>
      </w:rPr>
    </w:lvl>
    <w:lvl w:ilvl="2" w:tplc="3EDAA6E0" w:tentative="1">
      <w:start w:val="1"/>
      <w:numFmt w:val="bullet"/>
      <w:lvlText w:val="•"/>
      <w:lvlJc w:val="left"/>
      <w:pPr>
        <w:tabs>
          <w:tab w:val="num" w:pos="2160"/>
        </w:tabs>
        <w:ind w:left="2160" w:hanging="360"/>
      </w:pPr>
      <w:rPr>
        <w:rFonts w:ascii="Arial" w:hAnsi="Arial" w:hint="default"/>
      </w:rPr>
    </w:lvl>
    <w:lvl w:ilvl="3" w:tplc="5C4888A6" w:tentative="1">
      <w:start w:val="1"/>
      <w:numFmt w:val="bullet"/>
      <w:lvlText w:val="•"/>
      <w:lvlJc w:val="left"/>
      <w:pPr>
        <w:tabs>
          <w:tab w:val="num" w:pos="2880"/>
        </w:tabs>
        <w:ind w:left="2880" w:hanging="360"/>
      </w:pPr>
      <w:rPr>
        <w:rFonts w:ascii="Arial" w:hAnsi="Arial" w:hint="default"/>
      </w:rPr>
    </w:lvl>
    <w:lvl w:ilvl="4" w:tplc="EA149168" w:tentative="1">
      <w:start w:val="1"/>
      <w:numFmt w:val="bullet"/>
      <w:lvlText w:val="•"/>
      <w:lvlJc w:val="left"/>
      <w:pPr>
        <w:tabs>
          <w:tab w:val="num" w:pos="3600"/>
        </w:tabs>
        <w:ind w:left="3600" w:hanging="360"/>
      </w:pPr>
      <w:rPr>
        <w:rFonts w:ascii="Arial" w:hAnsi="Arial" w:hint="default"/>
      </w:rPr>
    </w:lvl>
    <w:lvl w:ilvl="5" w:tplc="B5DC46E4" w:tentative="1">
      <w:start w:val="1"/>
      <w:numFmt w:val="bullet"/>
      <w:lvlText w:val="•"/>
      <w:lvlJc w:val="left"/>
      <w:pPr>
        <w:tabs>
          <w:tab w:val="num" w:pos="4320"/>
        </w:tabs>
        <w:ind w:left="4320" w:hanging="360"/>
      </w:pPr>
      <w:rPr>
        <w:rFonts w:ascii="Arial" w:hAnsi="Arial" w:hint="default"/>
      </w:rPr>
    </w:lvl>
    <w:lvl w:ilvl="6" w:tplc="07EAE06C" w:tentative="1">
      <w:start w:val="1"/>
      <w:numFmt w:val="bullet"/>
      <w:lvlText w:val="•"/>
      <w:lvlJc w:val="left"/>
      <w:pPr>
        <w:tabs>
          <w:tab w:val="num" w:pos="5040"/>
        </w:tabs>
        <w:ind w:left="5040" w:hanging="360"/>
      </w:pPr>
      <w:rPr>
        <w:rFonts w:ascii="Arial" w:hAnsi="Arial" w:hint="default"/>
      </w:rPr>
    </w:lvl>
    <w:lvl w:ilvl="7" w:tplc="1C1A6EDE" w:tentative="1">
      <w:start w:val="1"/>
      <w:numFmt w:val="bullet"/>
      <w:lvlText w:val="•"/>
      <w:lvlJc w:val="left"/>
      <w:pPr>
        <w:tabs>
          <w:tab w:val="num" w:pos="5760"/>
        </w:tabs>
        <w:ind w:left="5760" w:hanging="360"/>
      </w:pPr>
      <w:rPr>
        <w:rFonts w:ascii="Arial" w:hAnsi="Arial" w:hint="default"/>
      </w:rPr>
    </w:lvl>
    <w:lvl w:ilvl="8" w:tplc="B002AC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F96714"/>
    <w:multiLevelType w:val="hybridMultilevel"/>
    <w:tmpl w:val="566A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CA66B0C"/>
    <w:multiLevelType w:val="hybridMultilevel"/>
    <w:tmpl w:val="FD520146"/>
    <w:lvl w:ilvl="0" w:tplc="2B967354">
      <w:start w:val="1"/>
      <w:numFmt w:val="bullet"/>
      <w:lvlText w:val="•"/>
      <w:lvlJc w:val="left"/>
      <w:pPr>
        <w:tabs>
          <w:tab w:val="num" w:pos="720"/>
        </w:tabs>
        <w:ind w:left="720" w:hanging="360"/>
      </w:pPr>
      <w:rPr>
        <w:rFonts w:ascii="Arial" w:hAnsi="Arial" w:hint="default"/>
      </w:rPr>
    </w:lvl>
    <w:lvl w:ilvl="1" w:tplc="EEB05B2C" w:tentative="1">
      <w:start w:val="1"/>
      <w:numFmt w:val="bullet"/>
      <w:lvlText w:val="•"/>
      <w:lvlJc w:val="left"/>
      <w:pPr>
        <w:tabs>
          <w:tab w:val="num" w:pos="1440"/>
        </w:tabs>
        <w:ind w:left="1440" w:hanging="360"/>
      </w:pPr>
      <w:rPr>
        <w:rFonts w:ascii="Arial" w:hAnsi="Arial" w:hint="default"/>
      </w:rPr>
    </w:lvl>
    <w:lvl w:ilvl="2" w:tplc="00FC25AA" w:tentative="1">
      <w:start w:val="1"/>
      <w:numFmt w:val="bullet"/>
      <w:lvlText w:val="•"/>
      <w:lvlJc w:val="left"/>
      <w:pPr>
        <w:tabs>
          <w:tab w:val="num" w:pos="2160"/>
        </w:tabs>
        <w:ind w:left="2160" w:hanging="360"/>
      </w:pPr>
      <w:rPr>
        <w:rFonts w:ascii="Arial" w:hAnsi="Arial" w:hint="default"/>
      </w:rPr>
    </w:lvl>
    <w:lvl w:ilvl="3" w:tplc="2E38AAF0" w:tentative="1">
      <w:start w:val="1"/>
      <w:numFmt w:val="bullet"/>
      <w:lvlText w:val="•"/>
      <w:lvlJc w:val="left"/>
      <w:pPr>
        <w:tabs>
          <w:tab w:val="num" w:pos="2880"/>
        </w:tabs>
        <w:ind w:left="2880" w:hanging="360"/>
      </w:pPr>
      <w:rPr>
        <w:rFonts w:ascii="Arial" w:hAnsi="Arial" w:hint="default"/>
      </w:rPr>
    </w:lvl>
    <w:lvl w:ilvl="4" w:tplc="5C3AAB14" w:tentative="1">
      <w:start w:val="1"/>
      <w:numFmt w:val="bullet"/>
      <w:lvlText w:val="•"/>
      <w:lvlJc w:val="left"/>
      <w:pPr>
        <w:tabs>
          <w:tab w:val="num" w:pos="3600"/>
        </w:tabs>
        <w:ind w:left="3600" w:hanging="360"/>
      </w:pPr>
      <w:rPr>
        <w:rFonts w:ascii="Arial" w:hAnsi="Arial" w:hint="default"/>
      </w:rPr>
    </w:lvl>
    <w:lvl w:ilvl="5" w:tplc="C13EF506" w:tentative="1">
      <w:start w:val="1"/>
      <w:numFmt w:val="bullet"/>
      <w:lvlText w:val="•"/>
      <w:lvlJc w:val="left"/>
      <w:pPr>
        <w:tabs>
          <w:tab w:val="num" w:pos="4320"/>
        </w:tabs>
        <w:ind w:left="4320" w:hanging="360"/>
      </w:pPr>
      <w:rPr>
        <w:rFonts w:ascii="Arial" w:hAnsi="Arial" w:hint="default"/>
      </w:rPr>
    </w:lvl>
    <w:lvl w:ilvl="6" w:tplc="7780C5DA" w:tentative="1">
      <w:start w:val="1"/>
      <w:numFmt w:val="bullet"/>
      <w:lvlText w:val="•"/>
      <w:lvlJc w:val="left"/>
      <w:pPr>
        <w:tabs>
          <w:tab w:val="num" w:pos="5040"/>
        </w:tabs>
        <w:ind w:left="5040" w:hanging="360"/>
      </w:pPr>
      <w:rPr>
        <w:rFonts w:ascii="Arial" w:hAnsi="Arial" w:hint="default"/>
      </w:rPr>
    </w:lvl>
    <w:lvl w:ilvl="7" w:tplc="F5600888" w:tentative="1">
      <w:start w:val="1"/>
      <w:numFmt w:val="bullet"/>
      <w:lvlText w:val="•"/>
      <w:lvlJc w:val="left"/>
      <w:pPr>
        <w:tabs>
          <w:tab w:val="num" w:pos="5760"/>
        </w:tabs>
        <w:ind w:left="5760" w:hanging="360"/>
      </w:pPr>
      <w:rPr>
        <w:rFonts w:ascii="Arial" w:hAnsi="Arial" w:hint="default"/>
      </w:rPr>
    </w:lvl>
    <w:lvl w:ilvl="8" w:tplc="92CC01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855946"/>
    <w:multiLevelType w:val="hybridMultilevel"/>
    <w:tmpl w:val="13609374"/>
    <w:lvl w:ilvl="0" w:tplc="39BC6550">
      <w:start w:val="1"/>
      <w:numFmt w:val="decimal"/>
      <w:lvlText w:val="%1."/>
      <w:lvlJc w:val="left"/>
      <w:pPr>
        <w:tabs>
          <w:tab w:val="num" w:pos="720"/>
        </w:tabs>
        <w:ind w:left="720" w:hanging="360"/>
      </w:pPr>
    </w:lvl>
    <w:lvl w:ilvl="1" w:tplc="37424FF0" w:tentative="1">
      <w:start w:val="1"/>
      <w:numFmt w:val="decimal"/>
      <w:lvlText w:val="%2."/>
      <w:lvlJc w:val="left"/>
      <w:pPr>
        <w:tabs>
          <w:tab w:val="num" w:pos="1440"/>
        </w:tabs>
        <w:ind w:left="1440" w:hanging="360"/>
      </w:pPr>
    </w:lvl>
    <w:lvl w:ilvl="2" w:tplc="34DEB9C4" w:tentative="1">
      <w:start w:val="1"/>
      <w:numFmt w:val="decimal"/>
      <w:lvlText w:val="%3."/>
      <w:lvlJc w:val="left"/>
      <w:pPr>
        <w:tabs>
          <w:tab w:val="num" w:pos="2160"/>
        </w:tabs>
        <w:ind w:left="2160" w:hanging="360"/>
      </w:pPr>
    </w:lvl>
    <w:lvl w:ilvl="3" w:tplc="259AE832" w:tentative="1">
      <w:start w:val="1"/>
      <w:numFmt w:val="decimal"/>
      <w:lvlText w:val="%4."/>
      <w:lvlJc w:val="left"/>
      <w:pPr>
        <w:tabs>
          <w:tab w:val="num" w:pos="2880"/>
        </w:tabs>
        <w:ind w:left="2880" w:hanging="360"/>
      </w:pPr>
    </w:lvl>
    <w:lvl w:ilvl="4" w:tplc="783AC5EC" w:tentative="1">
      <w:start w:val="1"/>
      <w:numFmt w:val="decimal"/>
      <w:lvlText w:val="%5."/>
      <w:lvlJc w:val="left"/>
      <w:pPr>
        <w:tabs>
          <w:tab w:val="num" w:pos="3600"/>
        </w:tabs>
        <w:ind w:left="3600" w:hanging="360"/>
      </w:pPr>
    </w:lvl>
    <w:lvl w:ilvl="5" w:tplc="908826EC" w:tentative="1">
      <w:start w:val="1"/>
      <w:numFmt w:val="decimal"/>
      <w:lvlText w:val="%6."/>
      <w:lvlJc w:val="left"/>
      <w:pPr>
        <w:tabs>
          <w:tab w:val="num" w:pos="4320"/>
        </w:tabs>
        <w:ind w:left="4320" w:hanging="360"/>
      </w:pPr>
    </w:lvl>
    <w:lvl w:ilvl="6" w:tplc="726402F4" w:tentative="1">
      <w:start w:val="1"/>
      <w:numFmt w:val="decimal"/>
      <w:lvlText w:val="%7."/>
      <w:lvlJc w:val="left"/>
      <w:pPr>
        <w:tabs>
          <w:tab w:val="num" w:pos="5040"/>
        </w:tabs>
        <w:ind w:left="5040" w:hanging="360"/>
      </w:pPr>
    </w:lvl>
    <w:lvl w:ilvl="7" w:tplc="AABC7F0C" w:tentative="1">
      <w:start w:val="1"/>
      <w:numFmt w:val="decimal"/>
      <w:lvlText w:val="%8."/>
      <w:lvlJc w:val="left"/>
      <w:pPr>
        <w:tabs>
          <w:tab w:val="num" w:pos="5760"/>
        </w:tabs>
        <w:ind w:left="5760" w:hanging="360"/>
      </w:pPr>
    </w:lvl>
    <w:lvl w:ilvl="8" w:tplc="5CFCC08C" w:tentative="1">
      <w:start w:val="1"/>
      <w:numFmt w:val="decimal"/>
      <w:lvlText w:val="%9."/>
      <w:lvlJc w:val="left"/>
      <w:pPr>
        <w:tabs>
          <w:tab w:val="num" w:pos="6480"/>
        </w:tabs>
        <w:ind w:left="6480" w:hanging="360"/>
      </w:pPr>
    </w:lvl>
  </w:abstractNum>
  <w:abstractNum w:abstractNumId="13"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6"/>
  </w:num>
  <w:num w:numId="5">
    <w:abstractNumId w:val="7"/>
  </w:num>
  <w:num w:numId="6">
    <w:abstractNumId w:val="13"/>
  </w:num>
  <w:num w:numId="7">
    <w:abstractNumId w:val="4"/>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0"/>
  </w:num>
  <w:num w:numId="10">
    <w:abstractNumId w:val="2"/>
  </w:num>
  <w:num w:numId="11">
    <w:abstractNumId w:val="11"/>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C18"/>
    <w:rsid w:val="001723EB"/>
    <w:rsid w:val="001830C8"/>
    <w:rsid w:val="001F724F"/>
    <w:rsid w:val="002030A4"/>
    <w:rsid w:val="00271010"/>
    <w:rsid w:val="00271BE1"/>
    <w:rsid w:val="003253DC"/>
    <w:rsid w:val="003630ED"/>
    <w:rsid w:val="003B6C3F"/>
    <w:rsid w:val="003F0A88"/>
    <w:rsid w:val="004A60FB"/>
    <w:rsid w:val="004C6FF6"/>
    <w:rsid w:val="0056191F"/>
    <w:rsid w:val="0056305A"/>
    <w:rsid w:val="005703B7"/>
    <w:rsid w:val="0057769C"/>
    <w:rsid w:val="005A4E47"/>
    <w:rsid w:val="005E396D"/>
    <w:rsid w:val="00603C3A"/>
    <w:rsid w:val="00617156"/>
    <w:rsid w:val="00636830"/>
    <w:rsid w:val="00661034"/>
    <w:rsid w:val="0077656C"/>
    <w:rsid w:val="00835B6E"/>
    <w:rsid w:val="00863529"/>
    <w:rsid w:val="0087304E"/>
    <w:rsid w:val="008966E2"/>
    <w:rsid w:val="008D6A7B"/>
    <w:rsid w:val="008E3FE7"/>
    <w:rsid w:val="00933E41"/>
    <w:rsid w:val="009A7C8E"/>
    <w:rsid w:val="009D1FFB"/>
    <w:rsid w:val="00A03CF0"/>
    <w:rsid w:val="00A4110D"/>
    <w:rsid w:val="00A734A5"/>
    <w:rsid w:val="00A74008"/>
    <w:rsid w:val="00A84D48"/>
    <w:rsid w:val="00A870E0"/>
    <w:rsid w:val="00B05B40"/>
    <w:rsid w:val="00C0074A"/>
    <w:rsid w:val="00C541A2"/>
    <w:rsid w:val="00C71107"/>
    <w:rsid w:val="00C86D10"/>
    <w:rsid w:val="00CB02C4"/>
    <w:rsid w:val="00CB3026"/>
    <w:rsid w:val="00CF55E9"/>
    <w:rsid w:val="00D407B3"/>
    <w:rsid w:val="00D5036D"/>
    <w:rsid w:val="00D6490C"/>
    <w:rsid w:val="00D65E51"/>
    <w:rsid w:val="00D82C18"/>
    <w:rsid w:val="00E13BE7"/>
    <w:rsid w:val="00E53DA2"/>
    <w:rsid w:val="00E64814"/>
    <w:rsid w:val="00E71A59"/>
    <w:rsid w:val="00E7344B"/>
    <w:rsid w:val="00E95703"/>
    <w:rsid w:val="00F00738"/>
    <w:rsid w:val="00F62A15"/>
    <w:rsid w:val="00FE1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1B01B9D8-A939-4A3B-8F40-9613DDA4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5E396D"/>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5E396D"/>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5E396D"/>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5E396D"/>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5E396D"/>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5E396D"/>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5E396D"/>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5E396D"/>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E396D"/>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sq-AL" w:eastAsia="de-DE"/>
    </w:rPr>
  </w:style>
  <w:style w:type="character" w:customStyle="1" w:styleId="bul1Char">
    <w:name w:val="bul1 Char"/>
    <w:link w:val="bul1"/>
    <w:locked/>
    <w:rsid w:val="00E7344B"/>
    <w:rPr>
      <w:rFonts w:ascii="Verdana" w:eastAsia="Calibri" w:hAnsi="Verdana" w:cs="Times New Roman"/>
      <w:sz w:val="18"/>
      <w:lang w:val="sq-AL"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5E396D"/>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5E396D"/>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5E396D"/>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5E396D"/>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5E396D"/>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5E396D"/>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5E396D"/>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5E396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E396D"/>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5E396D"/>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7769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2137">
      <w:bodyDiv w:val="1"/>
      <w:marLeft w:val="0"/>
      <w:marRight w:val="0"/>
      <w:marTop w:val="0"/>
      <w:marBottom w:val="0"/>
      <w:divBdr>
        <w:top w:val="none" w:sz="0" w:space="0" w:color="auto"/>
        <w:left w:val="none" w:sz="0" w:space="0" w:color="auto"/>
        <w:bottom w:val="none" w:sz="0" w:space="0" w:color="auto"/>
        <w:right w:val="none" w:sz="0" w:space="0" w:color="auto"/>
      </w:divBdr>
      <w:divsChild>
        <w:div w:id="294259504">
          <w:marLeft w:val="547"/>
          <w:marRight w:val="0"/>
          <w:marTop w:val="134"/>
          <w:marBottom w:val="0"/>
          <w:divBdr>
            <w:top w:val="none" w:sz="0" w:space="0" w:color="auto"/>
            <w:left w:val="none" w:sz="0" w:space="0" w:color="auto"/>
            <w:bottom w:val="none" w:sz="0" w:space="0" w:color="auto"/>
            <w:right w:val="none" w:sz="0" w:space="0" w:color="auto"/>
          </w:divBdr>
        </w:div>
        <w:div w:id="1576160762">
          <w:marLeft w:val="547"/>
          <w:marRight w:val="0"/>
          <w:marTop w:val="134"/>
          <w:marBottom w:val="0"/>
          <w:divBdr>
            <w:top w:val="none" w:sz="0" w:space="0" w:color="auto"/>
            <w:left w:val="none" w:sz="0" w:space="0" w:color="auto"/>
            <w:bottom w:val="none" w:sz="0" w:space="0" w:color="auto"/>
            <w:right w:val="none" w:sz="0" w:space="0" w:color="auto"/>
          </w:divBdr>
        </w:div>
        <w:div w:id="1479373455">
          <w:marLeft w:val="547"/>
          <w:marRight w:val="0"/>
          <w:marTop w:val="134"/>
          <w:marBottom w:val="0"/>
          <w:divBdr>
            <w:top w:val="none" w:sz="0" w:space="0" w:color="auto"/>
            <w:left w:val="none" w:sz="0" w:space="0" w:color="auto"/>
            <w:bottom w:val="none" w:sz="0" w:space="0" w:color="auto"/>
            <w:right w:val="none" w:sz="0" w:space="0" w:color="auto"/>
          </w:divBdr>
        </w:div>
        <w:div w:id="1339384525">
          <w:marLeft w:val="547"/>
          <w:marRight w:val="0"/>
          <w:marTop w:val="134"/>
          <w:marBottom w:val="0"/>
          <w:divBdr>
            <w:top w:val="none" w:sz="0" w:space="0" w:color="auto"/>
            <w:left w:val="none" w:sz="0" w:space="0" w:color="auto"/>
            <w:bottom w:val="none" w:sz="0" w:space="0" w:color="auto"/>
            <w:right w:val="none" w:sz="0" w:space="0" w:color="auto"/>
          </w:divBdr>
        </w:div>
      </w:divsChild>
    </w:div>
    <w:div w:id="39983414">
      <w:bodyDiv w:val="1"/>
      <w:marLeft w:val="0"/>
      <w:marRight w:val="0"/>
      <w:marTop w:val="0"/>
      <w:marBottom w:val="0"/>
      <w:divBdr>
        <w:top w:val="none" w:sz="0" w:space="0" w:color="auto"/>
        <w:left w:val="none" w:sz="0" w:space="0" w:color="auto"/>
        <w:bottom w:val="none" w:sz="0" w:space="0" w:color="auto"/>
        <w:right w:val="none" w:sz="0" w:space="0" w:color="auto"/>
      </w:divBdr>
      <w:divsChild>
        <w:div w:id="413471844">
          <w:marLeft w:val="806"/>
          <w:marRight w:val="0"/>
          <w:marTop w:val="154"/>
          <w:marBottom w:val="0"/>
          <w:divBdr>
            <w:top w:val="none" w:sz="0" w:space="0" w:color="auto"/>
            <w:left w:val="none" w:sz="0" w:space="0" w:color="auto"/>
            <w:bottom w:val="none" w:sz="0" w:space="0" w:color="auto"/>
            <w:right w:val="none" w:sz="0" w:space="0" w:color="auto"/>
          </w:divBdr>
        </w:div>
        <w:div w:id="757291058">
          <w:marLeft w:val="806"/>
          <w:marRight w:val="0"/>
          <w:marTop w:val="154"/>
          <w:marBottom w:val="0"/>
          <w:divBdr>
            <w:top w:val="none" w:sz="0" w:space="0" w:color="auto"/>
            <w:left w:val="none" w:sz="0" w:space="0" w:color="auto"/>
            <w:bottom w:val="none" w:sz="0" w:space="0" w:color="auto"/>
            <w:right w:val="none" w:sz="0" w:space="0" w:color="auto"/>
          </w:divBdr>
        </w:div>
        <w:div w:id="238029219">
          <w:marLeft w:val="806"/>
          <w:marRight w:val="0"/>
          <w:marTop w:val="154"/>
          <w:marBottom w:val="0"/>
          <w:divBdr>
            <w:top w:val="none" w:sz="0" w:space="0" w:color="auto"/>
            <w:left w:val="none" w:sz="0" w:space="0" w:color="auto"/>
            <w:bottom w:val="none" w:sz="0" w:space="0" w:color="auto"/>
            <w:right w:val="none" w:sz="0" w:space="0" w:color="auto"/>
          </w:divBdr>
        </w:div>
        <w:div w:id="812866563">
          <w:marLeft w:val="806"/>
          <w:marRight w:val="0"/>
          <w:marTop w:val="154"/>
          <w:marBottom w:val="0"/>
          <w:divBdr>
            <w:top w:val="none" w:sz="0" w:space="0" w:color="auto"/>
            <w:left w:val="none" w:sz="0" w:space="0" w:color="auto"/>
            <w:bottom w:val="none" w:sz="0" w:space="0" w:color="auto"/>
            <w:right w:val="none" w:sz="0" w:space="0" w:color="auto"/>
          </w:divBdr>
        </w:div>
        <w:div w:id="350451860">
          <w:marLeft w:val="806"/>
          <w:marRight w:val="0"/>
          <w:marTop w:val="154"/>
          <w:marBottom w:val="0"/>
          <w:divBdr>
            <w:top w:val="none" w:sz="0" w:space="0" w:color="auto"/>
            <w:left w:val="none" w:sz="0" w:space="0" w:color="auto"/>
            <w:bottom w:val="none" w:sz="0" w:space="0" w:color="auto"/>
            <w:right w:val="none" w:sz="0" w:space="0" w:color="auto"/>
          </w:divBdr>
        </w:div>
      </w:divsChild>
    </w:div>
    <w:div w:id="496073669">
      <w:bodyDiv w:val="1"/>
      <w:marLeft w:val="0"/>
      <w:marRight w:val="0"/>
      <w:marTop w:val="0"/>
      <w:marBottom w:val="0"/>
      <w:divBdr>
        <w:top w:val="none" w:sz="0" w:space="0" w:color="auto"/>
        <w:left w:val="none" w:sz="0" w:space="0" w:color="auto"/>
        <w:bottom w:val="none" w:sz="0" w:space="0" w:color="auto"/>
        <w:right w:val="none" w:sz="0" w:space="0" w:color="auto"/>
      </w:divBdr>
    </w:div>
    <w:div w:id="1195314003">
      <w:bodyDiv w:val="1"/>
      <w:marLeft w:val="0"/>
      <w:marRight w:val="0"/>
      <w:marTop w:val="0"/>
      <w:marBottom w:val="0"/>
      <w:divBdr>
        <w:top w:val="none" w:sz="0" w:space="0" w:color="auto"/>
        <w:left w:val="none" w:sz="0" w:space="0" w:color="auto"/>
        <w:bottom w:val="none" w:sz="0" w:space="0" w:color="auto"/>
        <w:right w:val="none" w:sz="0" w:space="0" w:color="auto"/>
      </w:divBdr>
      <w:divsChild>
        <w:div w:id="645816892">
          <w:marLeft w:val="547"/>
          <w:marRight w:val="0"/>
          <w:marTop w:val="134"/>
          <w:marBottom w:val="0"/>
          <w:divBdr>
            <w:top w:val="none" w:sz="0" w:space="0" w:color="auto"/>
            <w:left w:val="none" w:sz="0" w:space="0" w:color="auto"/>
            <w:bottom w:val="none" w:sz="0" w:space="0" w:color="auto"/>
            <w:right w:val="none" w:sz="0" w:space="0" w:color="auto"/>
          </w:divBdr>
        </w:div>
        <w:div w:id="1591348898">
          <w:marLeft w:val="547"/>
          <w:marRight w:val="0"/>
          <w:marTop w:val="134"/>
          <w:marBottom w:val="0"/>
          <w:divBdr>
            <w:top w:val="none" w:sz="0" w:space="0" w:color="auto"/>
            <w:left w:val="none" w:sz="0" w:space="0" w:color="auto"/>
            <w:bottom w:val="none" w:sz="0" w:space="0" w:color="auto"/>
            <w:right w:val="none" w:sz="0" w:space="0" w:color="auto"/>
          </w:divBdr>
        </w:div>
        <w:div w:id="664666554">
          <w:marLeft w:val="547"/>
          <w:marRight w:val="0"/>
          <w:marTop w:val="134"/>
          <w:marBottom w:val="0"/>
          <w:divBdr>
            <w:top w:val="none" w:sz="0" w:space="0" w:color="auto"/>
            <w:left w:val="none" w:sz="0" w:space="0" w:color="auto"/>
            <w:bottom w:val="none" w:sz="0" w:space="0" w:color="auto"/>
            <w:right w:val="none" w:sz="0" w:space="0" w:color="auto"/>
          </w:divBdr>
        </w:div>
        <w:div w:id="390078695">
          <w:marLeft w:val="547"/>
          <w:marRight w:val="0"/>
          <w:marTop w:val="134"/>
          <w:marBottom w:val="0"/>
          <w:divBdr>
            <w:top w:val="none" w:sz="0" w:space="0" w:color="auto"/>
            <w:left w:val="none" w:sz="0" w:space="0" w:color="auto"/>
            <w:bottom w:val="none" w:sz="0" w:space="0" w:color="auto"/>
            <w:right w:val="none" w:sz="0" w:space="0" w:color="auto"/>
          </w:divBdr>
        </w:div>
      </w:divsChild>
    </w:div>
    <w:div w:id="1265384840">
      <w:bodyDiv w:val="1"/>
      <w:marLeft w:val="0"/>
      <w:marRight w:val="0"/>
      <w:marTop w:val="0"/>
      <w:marBottom w:val="0"/>
      <w:divBdr>
        <w:top w:val="none" w:sz="0" w:space="0" w:color="auto"/>
        <w:left w:val="none" w:sz="0" w:space="0" w:color="auto"/>
        <w:bottom w:val="none" w:sz="0" w:space="0" w:color="auto"/>
        <w:right w:val="none" w:sz="0" w:space="0" w:color="auto"/>
      </w:divBdr>
      <w:divsChild>
        <w:div w:id="840585647">
          <w:marLeft w:val="547"/>
          <w:marRight w:val="0"/>
          <w:marTop w:val="113"/>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Mark Cameron</cp:lastModifiedBy>
  <cp:revision>18</cp:revision>
  <dcterms:created xsi:type="dcterms:W3CDTF">2017-05-31T06:50:00Z</dcterms:created>
  <dcterms:modified xsi:type="dcterms:W3CDTF">2020-09-16T14:48:00Z</dcterms:modified>
</cp:coreProperties>
</file>