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DD02D" w14:textId="71B0C567" w:rsidR="00D82C18" w:rsidRPr="00B3608C" w:rsidRDefault="00B3608C" w:rsidP="000F7896">
      <w:pPr>
        <w:rPr>
          <w:rFonts w:ascii="Verdana" w:hAnsi="Verdana"/>
        </w:rPr>
      </w:pPr>
      <w:r>
        <w:rPr>
          <w:sz w:val="28"/>
          <w:rFonts w:ascii="Verdana" w:hAnsi="Verdana"/>
        </w:rPr>
        <w:t xml:space="preserve">Mësimi 2.4 (</w:t>
      </w:r>
      <w:r>
        <w:rPr>
          <w:sz w:val="28"/>
          <w:color w:val="000000" w:themeColor="text1"/>
          <w:rFonts w:ascii="Verdana" w:hAnsi="Verdana"/>
        </w:rPr>
        <w:t xml:space="preserve">Kompetencat Procedurale sipas Konventës së Budapestit - Pjesa 1 - versioni online)</w:t>
      </w:r>
    </w:p>
    <w:p w14:paraId="1D0E3DC5" w14:textId="77777777" w:rsidR="00C115FC" w:rsidRPr="00C115FC" w:rsidRDefault="00C115FC" w:rsidP="00C115FC">
      <w:pPr>
        <w:ind w:left="360"/>
        <w:rPr>
          <w:rFonts w:ascii="Verdana" w:hAnsi="Verdan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5320"/>
        <w:gridCol w:w="2165"/>
      </w:tblGrid>
      <w:tr w:rsidR="00C115FC" w:rsidRPr="00D82C18" w14:paraId="58A3485E" w14:textId="77777777" w:rsidTr="00F1574D">
        <w:trPr>
          <w:trHeight w:val="872"/>
        </w:trPr>
        <w:tc>
          <w:tcPr>
            <w:tcW w:w="6845" w:type="dxa"/>
            <w:gridSpan w:val="2"/>
            <w:shd w:val="clear" w:color="auto" w:fill="DEEAF6" w:themeFill="accent5" w:themeFillTint="33"/>
            <w:vAlign w:val="center"/>
          </w:tcPr>
          <w:p w14:paraId="0067FF35" w14:textId="1CCE0A37" w:rsidR="00D82C18" w:rsidRPr="00D82C18" w:rsidRDefault="00C115FC" w:rsidP="00C115FC">
            <w:pPr>
              <w:rPr>
                <w:sz w:val="22"/>
                <w:szCs w:val="22"/>
                <w:rFonts w:ascii="Verdana" w:hAnsi="Verdana"/>
              </w:rPr>
            </w:pPr>
            <w:r>
              <w:rPr>
                <w:sz w:val="22"/>
                <w:rFonts w:ascii="Verdana" w:hAnsi="Verdana"/>
              </w:rPr>
              <w:t xml:space="preserve">Mësimi 2.4 </w:t>
            </w:r>
            <w:r>
              <w:rPr>
                <w:sz w:val="22"/>
                <w:color w:val="000000" w:themeColor="text1"/>
                <w:rFonts w:ascii="Verdana" w:hAnsi="Verdana"/>
              </w:rPr>
              <w:t xml:space="preserve">Kompetencat Procedurale sipas Konventës së Budapestit - Pjesa 1</w:t>
            </w:r>
          </w:p>
        </w:tc>
        <w:tc>
          <w:tcPr>
            <w:tcW w:w="2165" w:type="dxa"/>
            <w:shd w:val="clear" w:color="auto" w:fill="DEEAF6" w:themeFill="accent5" w:themeFillTint="33"/>
            <w:vAlign w:val="center"/>
          </w:tcPr>
          <w:p w14:paraId="30B631DA" w14:textId="24980FBA" w:rsidR="00D82C18" w:rsidRPr="00D82C18" w:rsidRDefault="00D82C18" w:rsidP="00C115FC">
            <w:pPr>
              <w:rPr>
                <w:sz w:val="22"/>
                <w:szCs w:val="22"/>
                <w:rFonts w:ascii="Verdana" w:hAnsi="Verdana"/>
              </w:rPr>
            </w:pPr>
            <w:r>
              <w:rPr>
                <w:sz w:val="22"/>
                <w:rFonts w:ascii="Verdana" w:hAnsi="Verdana"/>
              </w:rPr>
              <w:t xml:space="preserve">Kohëzgjatja:</w:t>
            </w:r>
            <w:r>
              <w:rPr>
                <w:sz w:val="22"/>
                <w:rFonts w:ascii="Verdana" w:hAnsi="Verdana"/>
              </w:rPr>
              <w:t xml:space="preserve"> </w:t>
            </w:r>
            <w:r>
              <w:rPr>
                <w:sz w:val="22"/>
                <w:color w:val="000000" w:themeColor="text1"/>
                <w:rFonts w:ascii="Verdana" w:hAnsi="Verdana"/>
              </w:rPr>
              <w:t xml:space="preserve">90 minuta</w:t>
            </w:r>
            <w:r>
              <w:rPr>
                <w:sz w:val="22"/>
                <w:color w:val="000000" w:themeColor="text1"/>
                <w:rFonts w:ascii="Verdana" w:hAnsi="Verdana"/>
              </w:rPr>
              <w:t xml:space="preserve"> </w:t>
            </w:r>
          </w:p>
        </w:tc>
      </w:tr>
      <w:tr w:rsidR="00E7344B" w:rsidRPr="00D82C18" w14:paraId="7C1107AB" w14:textId="77777777" w:rsidTr="00A439ED">
        <w:trPr>
          <w:trHeight w:val="1727"/>
        </w:trPr>
        <w:tc>
          <w:tcPr>
            <w:tcW w:w="9010" w:type="dxa"/>
            <w:gridSpan w:val="3"/>
            <w:vAlign w:val="center"/>
          </w:tcPr>
          <w:p w14:paraId="0B1C3404" w14:textId="53612A3F" w:rsidR="00E7344B" w:rsidRPr="000F7896" w:rsidRDefault="00E7344B" w:rsidP="000F7896">
            <w:pPr>
              <w:spacing w:after="120" w:line="280" w:lineRule="exact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rFonts w:ascii="Verdana" w:hAnsi="Verdana"/>
              </w:rPr>
              <w:t xml:space="preserve">Burimet e nevojshme:</w:t>
            </w:r>
            <w:r>
              <w:rPr>
                <w:b/>
                <w:sz w:val="22"/>
                <w:rFonts w:ascii="Verdana" w:hAnsi="Verdana"/>
              </w:rPr>
              <w:t xml:space="preserve"> </w:t>
            </w:r>
          </w:p>
          <w:p w14:paraId="594AD04A" w14:textId="77777777" w:rsidR="00027F4D" w:rsidRDefault="00027F4D" w:rsidP="00027F4D">
            <w:pPr>
              <w:pStyle w:val="bul1"/>
              <w:numPr>
                <w:ilvl w:val="0"/>
                <w:numId w:val="6"/>
              </w:numPr>
              <w:spacing w:after="120" w:line="280" w:lineRule="exact"/>
              <w:contextualSpacing/>
              <w:rPr>
                <w:szCs w:val="18"/>
              </w:rPr>
            </w:pPr>
            <w:r>
              <w:t xml:space="preserve">PC/Laptop ngarkuar me versione softuerësh të pajtueshëm me materialet e përgatitura</w:t>
            </w:r>
          </w:p>
          <w:p w14:paraId="26259913" w14:textId="77777777" w:rsidR="00027F4D" w:rsidRDefault="00027F4D" w:rsidP="00027F4D">
            <w:pPr>
              <w:pStyle w:val="bul1"/>
              <w:numPr>
                <w:ilvl w:val="0"/>
                <w:numId w:val="6"/>
              </w:numPr>
              <w:spacing w:line="280" w:lineRule="exact"/>
              <w:contextualSpacing/>
              <w:rPr>
                <w:szCs w:val="18"/>
              </w:rPr>
            </w:pPr>
            <w:r>
              <w:t xml:space="preserve">Qasja në softuerin/platformën online të konferencave.</w:t>
            </w:r>
          </w:p>
          <w:p w14:paraId="0B6E40DA" w14:textId="77777777" w:rsidR="00027F4D" w:rsidRDefault="00027F4D" w:rsidP="00027F4D">
            <w:pPr>
              <w:pStyle w:val="bul1"/>
              <w:numPr>
                <w:ilvl w:val="0"/>
                <w:numId w:val="6"/>
              </w:numPr>
              <w:spacing w:before="120" w:line="280" w:lineRule="exact"/>
              <w:contextualSpacing/>
              <w:rPr>
                <w:szCs w:val="18"/>
              </w:rPr>
            </w:pPr>
            <w:r>
              <w:t xml:space="preserve">Qasja në internet.</w:t>
            </w:r>
            <w:r>
              <w:t xml:space="preserve"> </w:t>
            </w:r>
          </w:p>
          <w:p w14:paraId="1FBAA198" w14:textId="77777777" w:rsidR="00027F4D" w:rsidRPr="00DF2563" w:rsidRDefault="00027F4D" w:rsidP="00027F4D">
            <w:pPr>
              <w:pStyle w:val="bul1"/>
              <w:numPr>
                <w:ilvl w:val="0"/>
                <w:numId w:val="6"/>
              </w:numPr>
              <w:spacing w:line="280" w:lineRule="exact"/>
              <w:rPr>
                <w:rFonts w:ascii="Symbol" w:hAnsi="Symbol"/>
              </w:rPr>
            </w:pPr>
            <w:r>
              <w:t xml:space="preserve">Fletore për shënime dhe lapsa kimik</w:t>
            </w:r>
          </w:p>
          <w:p w14:paraId="14CF9EF0" w14:textId="55D6191D" w:rsidR="000F7896" w:rsidRPr="00A439ED" w:rsidRDefault="00027F4D" w:rsidP="00027F4D">
            <w:pPr>
              <w:pStyle w:val="bul1"/>
              <w:numPr>
                <w:ilvl w:val="0"/>
                <w:numId w:val="6"/>
              </w:numPr>
              <w:spacing w:line="280" w:lineRule="exact"/>
              <w:rPr>
                <w:rFonts w:ascii="Symbol" w:hAnsi="Symbol"/>
              </w:rPr>
            </w:pPr>
            <w:r>
              <w:t xml:space="preserve">Kopje e Konventës së Budapestit</w:t>
            </w:r>
          </w:p>
        </w:tc>
      </w:tr>
      <w:tr w:rsidR="00E7344B" w:rsidRPr="00D82C18" w14:paraId="635F2EFD" w14:textId="77777777" w:rsidTr="00F1574D">
        <w:trPr>
          <w:trHeight w:val="2879"/>
        </w:trPr>
        <w:tc>
          <w:tcPr>
            <w:tcW w:w="9010" w:type="dxa"/>
            <w:gridSpan w:val="3"/>
            <w:vAlign w:val="center"/>
          </w:tcPr>
          <w:p w14:paraId="34602AF3" w14:textId="77777777" w:rsidR="00A03CF0" w:rsidRDefault="00A03CF0" w:rsidP="00F62A15">
            <w:pPr>
              <w:spacing w:before="120" w:after="120" w:line="280" w:lineRule="exact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rFonts w:ascii="Verdana" w:hAnsi="Verdana"/>
              </w:rPr>
              <w:t xml:space="preserve">Qëllimi i seancës:</w:t>
            </w:r>
            <w:r>
              <w:rPr>
                <w:b/>
                <w:sz w:val="22"/>
                <w:rFonts w:ascii="Verdana" w:hAnsi="Verdana"/>
              </w:rPr>
              <w:t xml:space="preserve">  </w:t>
            </w:r>
          </w:p>
          <w:p w14:paraId="3FE58655" w14:textId="020C4871" w:rsidR="00A03CF0" w:rsidRPr="000F7896" w:rsidRDefault="00394E20" w:rsidP="00FA5D5D">
            <w:pPr>
              <w:spacing w:before="120" w:after="120" w:line="280" w:lineRule="exact"/>
              <w:jc w:val="both"/>
              <w:rPr>
                <w:i/>
                <w:color w:val="FF0000"/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Qëllimi i kësaj seance është t'u ofrojë pjesëmarrësve një kuptim gjithëpërfshirës të elementeve të kompetencave procedurale që lidhen me ruajtjen e të dhënave kompjuterike, zbulimin e pjesshëm të të dhënave të trafikut dhe urdhrave të prodhimit, fushëveprimin e kompetencave procedurale dhe kushteve dhe masat mbrojtëse në lidhje me zbatimin e tyre.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Seanca përfshin, në detaje, secilin element të nenit 14 (fusha e dispozitave procedurale), nenit 15 (kushtet dhe masat mbrojtëse), nenit 16 (ruajtja e shpejtë e të dhënave të ruajtura kompjuterike), nenit 17 (ruajtja e shpejtë dhe zbulimi i pjesshëm i të dhënave të trafikut), nenit 18 (urdhri i prodhimit) të Konventës së Budapestit.</w:t>
            </w:r>
          </w:p>
        </w:tc>
      </w:tr>
      <w:tr w:rsidR="00A03CF0" w:rsidRPr="00D82C18" w14:paraId="1B5A80A7" w14:textId="77777777" w:rsidTr="00325B4C">
        <w:trPr>
          <w:trHeight w:val="890"/>
        </w:trPr>
        <w:tc>
          <w:tcPr>
            <w:tcW w:w="9010" w:type="dxa"/>
            <w:gridSpan w:val="3"/>
            <w:vAlign w:val="center"/>
          </w:tcPr>
          <w:p w14:paraId="559A7E05" w14:textId="77777777" w:rsidR="00A03CF0" w:rsidRPr="00271010" w:rsidRDefault="00271010" w:rsidP="00F62A15">
            <w:pPr>
              <w:spacing w:before="120" w:after="120" w:line="280" w:lineRule="exact"/>
              <w:contextualSpacing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rFonts w:ascii="Verdana" w:hAnsi="Verdana"/>
              </w:rPr>
              <w:t xml:space="preserve">Objektivat:</w:t>
            </w:r>
          </w:p>
          <w:p w14:paraId="7552C5F6" w14:textId="77777777" w:rsidR="000F7896" w:rsidRPr="00AC1380" w:rsidRDefault="000F7896" w:rsidP="000F7896">
            <w:pPr>
              <w:tabs>
                <w:tab w:val="left" w:pos="426"/>
                <w:tab w:val="left" w:pos="851"/>
              </w:tabs>
              <w:rPr>
                <w:sz w:val="18"/>
                <w:szCs w:val="18"/>
                <w:rFonts w:ascii="Verdana" w:eastAsia="Times New Roman" w:hAnsi="Verdana" w:cs="Times New Roman"/>
              </w:rPr>
            </w:pPr>
            <w:r>
              <w:rPr>
                <w:sz w:val="18"/>
                <w:rFonts w:ascii="Verdana" w:hAnsi="Verdana"/>
              </w:rPr>
              <w:t xml:space="preserve">Deri në fund të kësaj seance pjesëmarrësit do të jenë në gjendje të:</w:t>
            </w:r>
          </w:p>
          <w:p w14:paraId="37F1EA8A" w14:textId="77777777" w:rsidR="00394E20" w:rsidRPr="00394E20" w:rsidRDefault="00394E20" w:rsidP="00394E20">
            <w:pPr>
              <w:pStyle w:val="bul1"/>
              <w:numPr>
                <w:ilvl w:val="0"/>
                <w:numId w:val="11"/>
              </w:numPr>
            </w:pPr>
            <w:r>
              <w:t xml:space="preserve">Identifikojnë elementet e kompetencave procedurale të:</w:t>
            </w:r>
            <w:r>
              <w:t xml:space="preserve">  </w:t>
            </w:r>
          </w:p>
          <w:p w14:paraId="56BF8001" w14:textId="38A000E5" w:rsidR="00394E20" w:rsidRPr="00394E20" w:rsidRDefault="00192BC7" w:rsidP="00394E20">
            <w:pPr>
              <w:pStyle w:val="bul1"/>
              <w:numPr>
                <w:ilvl w:val="0"/>
                <w:numId w:val="13"/>
              </w:numPr>
            </w:pPr>
            <w:r>
              <w:t xml:space="preserve">Kontrollit dhe sekuestrimit të të dhënave të ruajtura kompjuterike</w:t>
            </w:r>
            <w:r>
              <w:t xml:space="preserve"> </w:t>
            </w:r>
          </w:p>
          <w:p w14:paraId="0B9E9855" w14:textId="608B2015" w:rsidR="00394E20" w:rsidRPr="00394E20" w:rsidRDefault="00192BC7" w:rsidP="00394E20">
            <w:pPr>
              <w:pStyle w:val="bul1"/>
              <w:numPr>
                <w:ilvl w:val="0"/>
                <w:numId w:val="13"/>
              </w:numPr>
            </w:pPr>
            <w:r>
              <w:t xml:space="preserve">Mbledhjen në kohë reale të të dhënave të trafikut</w:t>
            </w:r>
          </w:p>
          <w:p w14:paraId="4546C782" w14:textId="77777777" w:rsidR="001E7389" w:rsidRPr="00192BC7" w:rsidRDefault="00192BC7" w:rsidP="00394E20">
            <w:pPr>
              <w:pStyle w:val="bul1"/>
              <w:numPr>
                <w:ilvl w:val="0"/>
                <w:numId w:val="13"/>
              </w:numPr>
            </w:pPr>
            <w:r>
              <w:t xml:space="preserve">Përgjimin e të dhënave rreth përmbajtjes.</w:t>
            </w:r>
          </w:p>
          <w:p w14:paraId="61ABEAC5" w14:textId="25473C52" w:rsidR="00192BC7" w:rsidRPr="00394E20" w:rsidRDefault="00192BC7" w:rsidP="00192BC7">
            <w:pPr>
              <w:pStyle w:val="bul1"/>
              <w:numPr>
                <w:ilvl w:val="0"/>
                <w:numId w:val="11"/>
              </w:numPr>
            </w:pPr>
            <w:r>
              <w:t xml:space="preserve">Kuptojnë fushëveprimin e juridiksionit të Konventës së Budapestit.</w:t>
            </w:r>
          </w:p>
        </w:tc>
      </w:tr>
      <w:tr w:rsidR="005703B7" w:rsidRPr="00D82C18" w14:paraId="03110757" w14:textId="77777777" w:rsidTr="00AC45A8">
        <w:trPr>
          <w:trHeight w:val="5802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vAlign w:val="center"/>
          </w:tcPr>
          <w:p w14:paraId="7A064E85" w14:textId="77777777" w:rsidR="005703B7" w:rsidRPr="002F3B54" w:rsidRDefault="00E95703" w:rsidP="00F62A15">
            <w:pPr>
              <w:spacing w:before="120" w:after="120" w:line="280" w:lineRule="exact"/>
              <w:rPr>
                <w:b/>
                <w:color w:val="000000" w:themeColor="text1"/>
                <w:sz w:val="22"/>
                <w:szCs w:val="22"/>
                <w:rFonts w:ascii="Verdana" w:hAnsi="Verdana"/>
              </w:rPr>
            </w:pPr>
            <w:r>
              <w:rPr>
                <w:b/>
                <w:color w:val="000000" w:themeColor="text1"/>
                <w:sz w:val="22"/>
                <w:rFonts w:ascii="Verdana" w:hAnsi="Verdana"/>
              </w:rPr>
              <w:t xml:space="preserve">Udhëzimi për trajnerë</w:t>
            </w:r>
          </w:p>
          <w:p w14:paraId="697F558B" w14:textId="79FADACB" w:rsidR="00394E20" w:rsidRDefault="00394E20" w:rsidP="00394E20">
            <w:pPr>
              <w:spacing w:before="120" w:after="120" w:line="280" w:lineRule="exact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Kjo seancë është përgatitur për t'u ofruar pjesëmarrësve një kuptim gjithëpërfshirës të dispozitave të ligjit procedural të përshkruara në Kapitullin II Seksioni 2.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Kjo seancë është e ndarë në katër pjesë, përveç një hyrjeje dhe një përfundimi.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Pjesa e parë mbulon fushëveprimin e dispozitave procedurale.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Pjesa e dytë përfshin kushtet shoqëruese dhe masat mbrojtëse.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Pjesa e tretë mbulon ruajtjen e shpejtë të të dhënave kompjuterike të memories dhe zbulimin e pjesshëm të të dhënave të trafikut.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Pjesa e katërt përfshin urdhrat e prodhimit</w:t>
            </w:r>
            <w:r>
              <w:rPr>
                <w:sz w:val="18"/>
                <w:rFonts w:ascii="Verdana" w:hAnsi="Verdana"/>
              </w:rPr>
              <w:t xml:space="preserve"> </w:t>
            </w:r>
          </w:p>
          <w:p w14:paraId="70C91061" w14:textId="77777777" w:rsidR="00FF2976" w:rsidRDefault="00394E20" w:rsidP="00394E20">
            <w:pPr>
              <w:spacing w:before="120" w:after="120" w:line="280" w:lineRule="exact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Para prezantimit të kësaj seance, rekomandohet që trajneri të rishikojë paragrafët 131 - 183 të këtij ligji </w:t>
            </w:r>
            <w:hyperlink r:id="rId5" w:history="1">
              <w:r>
                <w:rPr>
                  <w:rStyle w:val="Hyperlink"/>
                  <w:sz w:val="18"/>
                  <w:rFonts w:ascii="Verdana" w:hAnsi="Verdana"/>
                </w:rPr>
                <w:t xml:space="preserve">Raport shpjegues për Konventën për krimin kibernetik</w:t>
              </w:r>
            </w:hyperlink>
            <w:r>
              <w:rPr>
                <w:sz w:val="18"/>
                <w:rFonts w:ascii="Verdana" w:hAnsi="Verdana"/>
              </w:rPr>
              <w:t xml:space="preserve">.</w:t>
            </w:r>
          </w:p>
          <w:p w14:paraId="5EFF4BEF" w14:textId="6C863A91" w:rsidR="00166AE7" w:rsidRPr="00E95703" w:rsidRDefault="00166AE7" w:rsidP="00394E20">
            <w:pPr>
              <w:spacing w:before="120" w:after="120" w:line="280" w:lineRule="exact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Trajneri mund të dëshirojë të inkurajojë një diskutim rreth mënyrës se si secila prej dispozitave të përfshira në këtë seancë është krijuar në bazë të ligjit vendor.</w:t>
            </w:r>
          </w:p>
        </w:tc>
      </w:tr>
      <w:tr w:rsidR="005A4E47" w:rsidRPr="00D82C18" w14:paraId="7760520D" w14:textId="77777777" w:rsidTr="00F1574D">
        <w:trPr>
          <w:trHeight w:val="728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F533D38" w14:textId="77777777" w:rsidR="005A4E47" w:rsidRPr="00CB3026" w:rsidRDefault="005A4E47" w:rsidP="00CB3026">
            <w:pPr>
              <w:rPr>
                <w:b/>
                <w:sz w:val="28"/>
                <w:szCs w:val="28"/>
                <w:rFonts w:ascii="Verdana" w:hAnsi="Verdana"/>
              </w:rPr>
            </w:pPr>
            <w:r>
              <w:rPr>
                <w:b/>
                <w:sz w:val="28"/>
                <w:rFonts w:ascii="Verdana" w:hAnsi="Verdana"/>
              </w:rPr>
              <w:t xml:space="preserve">Përmbajtja e Mësimit</w:t>
            </w:r>
          </w:p>
        </w:tc>
      </w:tr>
      <w:tr w:rsidR="00F1574D" w:rsidRPr="00D82C18" w14:paraId="57CC7AA4" w14:textId="77777777" w:rsidTr="00F1574D">
        <w:trPr>
          <w:trHeight w:val="629"/>
        </w:trPr>
        <w:tc>
          <w:tcPr>
            <w:tcW w:w="1525" w:type="dxa"/>
            <w:shd w:val="clear" w:color="auto" w:fill="D9E2F3" w:themeFill="accent1" w:themeFillTint="33"/>
            <w:vAlign w:val="center"/>
          </w:tcPr>
          <w:p w14:paraId="4538C338" w14:textId="77777777" w:rsidR="00D82C18" w:rsidRPr="00E13BE7" w:rsidRDefault="00E13BE7" w:rsidP="00CB3026">
            <w:pPr>
              <w:jc w:val="center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rFonts w:ascii="Verdana" w:hAnsi="Verdana"/>
              </w:rPr>
              <w:t xml:space="preserve">Numrat e slajdeve</w:t>
            </w:r>
          </w:p>
        </w:tc>
        <w:tc>
          <w:tcPr>
            <w:tcW w:w="7485" w:type="dxa"/>
            <w:gridSpan w:val="2"/>
            <w:shd w:val="clear" w:color="auto" w:fill="D9E2F3" w:themeFill="accent1" w:themeFillTint="33"/>
            <w:vAlign w:val="center"/>
          </w:tcPr>
          <w:p w14:paraId="2DA616FC" w14:textId="77777777" w:rsidR="00D82C18" w:rsidRPr="00E13BE7" w:rsidRDefault="00E13BE7">
            <w:pPr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rFonts w:ascii="Verdana" w:hAnsi="Verdana"/>
              </w:rPr>
              <w:t xml:space="preserve">Përmbajtja</w:t>
            </w:r>
          </w:p>
        </w:tc>
      </w:tr>
      <w:tr w:rsidR="00F1574D" w:rsidRPr="00D82C18" w14:paraId="11A12D7E" w14:textId="77777777" w:rsidTr="000F04E4">
        <w:trPr>
          <w:trHeight w:val="591"/>
        </w:trPr>
        <w:tc>
          <w:tcPr>
            <w:tcW w:w="1525" w:type="dxa"/>
            <w:vAlign w:val="center"/>
          </w:tcPr>
          <w:p w14:paraId="67083237" w14:textId="207A1282" w:rsidR="00D82C18" w:rsidRDefault="003630ED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1 deri 4</w:t>
            </w:r>
          </w:p>
          <w:p w14:paraId="5A89CF27" w14:textId="6863FBB0" w:rsidR="00F1574D" w:rsidRPr="00F62A15" w:rsidRDefault="00F1574D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Slajdet e detyrueshme</w:t>
            </w:r>
          </w:p>
        </w:tc>
        <w:tc>
          <w:tcPr>
            <w:tcW w:w="7485" w:type="dxa"/>
            <w:gridSpan w:val="2"/>
            <w:vAlign w:val="center"/>
          </w:tcPr>
          <w:p w14:paraId="36345B59" w14:textId="4EFB5D9E" w:rsidR="00556D69" w:rsidRPr="00C70C5C" w:rsidRDefault="00556D69" w:rsidP="00314D32">
            <w:pPr>
              <w:spacing w:before="120" w:after="120" w:line="360" w:lineRule="auto"/>
              <w:jc w:val="both"/>
              <w:rPr>
                <w:color w:val="000000" w:themeColor="text1"/>
                <w:sz w:val="18"/>
                <w:szCs w:val="18"/>
                <w:rFonts w:ascii="Verdana" w:hAnsi="Verdana"/>
              </w:rPr>
            </w:pPr>
            <w:r>
              <w:rPr>
                <w:color w:val="000000" w:themeColor="text1"/>
                <w:sz w:val="18"/>
                <w:rFonts w:ascii="Verdana" w:hAnsi="Verdana"/>
              </w:rPr>
              <w:t xml:space="preserve">Slajdet e para janë hyrja në seancë dhe përfshijnë agjendën dhe objektivat e seancës.</w:t>
            </w:r>
            <w:r>
              <w:rPr>
                <w:color w:val="000000" w:themeColor="text1"/>
                <w:sz w:val="18"/>
                <w:rFonts w:ascii="Verdana" w:hAnsi="Verdana"/>
              </w:rPr>
              <w:t xml:space="preserve"> </w:t>
            </w:r>
          </w:p>
        </w:tc>
      </w:tr>
      <w:tr w:rsidR="00F1574D" w:rsidRPr="00D82C18" w14:paraId="65F07CB5" w14:textId="77777777" w:rsidTr="00F1574D">
        <w:trPr>
          <w:trHeight w:val="1880"/>
        </w:trPr>
        <w:tc>
          <w:tcPr>
            <w:tcW w:w="1525" w:type="dxa"/>
            <w:vAlign w:val="center"/>
          </w:tcPr>
          <w:p w14:paraId="56AF6365" w14:textId="7A1320DD" w:rsidR="00D82C18" w:rsidRDefault="00C70C5C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5 deri 7</w:t>
            </w:r>
          </w:p>
          <w:p w14:paraId="6F5AEB2D" w14:textId="242338E2" w:rsidR="00F1574D" w:rsidRPr="003630ED" w:rsidRDefault="00BA7368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Slajdet e detyrueshme</w:t>
            </w:r>
          </w:p>
        </w:tc>
        <w:tc>
          <w:tcPr>
            <w:tcW w:w="7485" w:type="dxa"/>
            <w:gridSpan w:val="2"/>
            <w:vAlign w:val="center"/>
          </w:tcPr>
          <w:p w14:paraId="317E0A87" w14:textId="4A02583D" w:rsidR="001A1F68" w:rsidRPr="00394BB8" w:rsidRDefault="001A1F68" w:rsidP="001A1F68">
            <w:pPr>
              <w:pStyle w:val="Subtitle"/>
              <w:spacing w:line="360" w:lineRule="auto"/>
              <w:rPr>
                <w:iCs w:val="0"/>
                <w:color w:val="auto"/>
                <w:szCs w:val="18"/>
                <w:rFonts w:ascii="Verdana" w:eastAsiaTheme="minorHAnsi" w:hAnsi="Verdana" w:cstheme="minorBidi"/>
              </w:rPr>
            </w:pPr>
            <w:r>
              <w:rPr>
                <w:rFonts w:ascii="Verdana" w:hAnsi="Verdana"/>
              </w:rPr>
              <w:t xml:space="preserve">Këto slajde shpjegojnë fushëveprimin e dispozitave procedurale siç parashihet në nenin 14 të Konventës së Budapestit.</w:t>
            </w:r>
            <w:r>
              <w:rPr>
                <w:rFonts w:ascii="Verdana" w:hAnsi="Verdana"/>
              </w:rPr>
              <w:t xml:space="preserve"> </w:t>
            </w:r>
          </w:p>
          <w:p w14:paraId="649FEA68" w14:textId="7BAB86DA" w:rsidR="00254BD5" w:rsidRPr="00254BD5" w:rsidRDefault="00254BD5" w:rsidP="00254BD5">
            <w:pPr>
              <w:pStyle w:val="Subtitle"/>
              <w:spacing w:line="360" w:lineRule="auto"/>
              <w:rPr>
                <w:szCs w:val="18"/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 xml:space="preserve">Këto slajde janë ndarë në dy kolona.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Kolona në anën e majtë përsërit tekstin e nenit 14 të Konventës së Budapestit me një element të veçantë të theksuar, ndërsa kolona në anën e djathtë ofron një shpjegim të elementit të theksuar.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Trajneri pritet të kalojë nëpër secilin element, për t'u ofruar pjesëmarrësve një kuptim gjithëpërfshirës të nenit 14 të Konventës së Budapestit.</w:t>
            </w:r>
            <w:r>
              <w:rPr>
                <w:rFonts w:ascii="Verdana" w:hAnsi="Verdana"/>
              </w:rPr>
              <w:t xml:space="preserve"> </w:t>
            </w:r>
          </w:p>
        </w:tc>
      </w:tr>
      <w:tr w:rsidR="00D71080" w:rsidRPr="00D82C18" w14:paraId="48E7B16B" w14:textId="77777777" w:rsidTr="00F1574D">
        <w:trPr>
          <w:trHeight w:val="1880"/>
        </w:trPr>
        <w:tc>
          <w:tcPr>
            <w:tcW w:w="1525" w:type="dxa"/>
            <w:vAlign w:val="center"/>
          </w:tcPr>
          <w:p w14:paraId="1CA37158" w14:textId="41721E65" w:rsidR="00D71080" w:rsidRDefault="00D71080" w:rsidP="00D71080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8 deri 13</w:t>
            </w:r>
          </w:p>
          <w:p w14:paraId="529370FD" w14:textId="45400E44" w:rsidR="00D71080" w:rsidRDefault="00D71080" w:rsidP="00D71080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Slajdet e detyrueshme</w:t>
            </w:r>
          </w:p>
        </w:tc>
        <w:tc>
          <w:tcPr>
            <w:tcW w:w="7485" w:type="dxa"/>
            <w:gridSpan w:val="2"/>
            <w:vAlign w:val="center"/>
          </w:tcPr>
          <w:p w14:paraId="2B752BD6" w14:textId="77777777" w:rsidR="00D71080" w:rsidRPr="00254BD5" w:rsidRDefault="00D71080" w:rsidP="00D71080">
            <w:pPr>
              <w:pStyle w:val="Subtitle"/>
              <w:rPr>
                <w:szCs w:val="18"/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 xml:space="preserve">Këto slajde shpjegojnë kushtet dhe masat mbrojtëse siç parashihet në nenin 15 të Konventës së Budapestit.</w:t>
            </w:r>
            <w:r>
              <w:rPr>
                <w:rFonts w:ascii="Verdana" w:hAnsi="Verdana"/>
              </w:rPr>
              <w:t xml:space="preserve"> </w:t>
            </w:r>
          </w:p>
          <w:p w14:paraId="4E8D4973" w14:textId="77777777" w:rsidR="00EB0182" w:rsidRDefault="00D71080" w:rsidP="00EB0182">
            <w:pPr>
              <w:pStyle w:val="Subtitle"/>
              <w:spacing w:line="360" w:lineRule="auto"/>
              <w:rPr>
                <w:szCs w:val="18"/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 xml:space="preserve">Këto slajde janë ndarë në dy kolona.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Kolona në anën e majtë përsërit tekstin e nenit 15 të Konventës së Budapestit me një element të veçantë të theksuar, ndërsa kolona në anën e djathtë ofron një shpjegim të elementit të theksuar.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Trajneri pritet të kalojë nëpër secilin element, për t'u ofruar pjesëmarrësve një kuptim gjithëpërfshirës të nenit 15 të Konventës së Budapestit.</w:t>
            </w:r>
          </w:p>
          <w:p w14:paraId="7D628DD2" w14:textId="16606748" w:rsidR="00EB0182" w:rsidRPr="00EB0182" w:rsidRDefault="00EB0182" w:rsidP="00EB0182">
            <w:pPr>
              <w:pStyle w:val="Subtitle"/>
              <w:spacing w:line="360" w:lineRule="auto"/>
              <w:rPr>
                <w:szCs w:val="18"/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 xml:space="preserve">Trajneri mund t'u kërkojë pjesëmarrësve raste se si vendet e tyre zbatojnë kushtet dhe masat mbrojtëse.</w:t>
            </w:r>
          </w:p>
        </w:tc>
      </w:tr>
      <w:tr w:rsidR="006D4EB9" w:rsidRPr="00D82C18" w14:paraId="55B240E0" w14:textId="77777777" w:rsidTr="00EB0182">
        <w:trPr>
          <w:trHeight w:val="416"/>
        </w:trPr>
        <w:tc>
          <w:tcPr>
            <w:tcW w:w="1525" w:type="dxa"/>
            <w:vAlign w:val="center"/>
          </w:tcPr>
          <w:p w14:paraId="3DA92373" w14:textId="41AB99D6" w:rsidR="00D71080" w:rsidRDefault="00D71080" w:rsidP="00D71080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14 deri 27</w:t>
            </w:r>
          </w:p>
          <w:p w14:paraId="6DF39AAE" w14:textId="1CC1BC49" w:rsidR="006D4EB9" w:rsidRDefault="00D71080" w:rsidP="00D71080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Slajdet e detyrueshme</w:t>
            </w:r>
          </w:p>
        </w:tc>
        <w:tc>
          <w:tcPr>
            <w:tcW w:w="7485" w:type="dxa"/>
            <w:gridSpan w:val="2"/>
            <w:vAlign w:val="center"/>
          </w:tcPr>
          <w:p w14:paraId="62AE982E" w14:textId="6B08AFF0" w:rsidR="00D71080" w:rsidRPr="00D01845" w:rsidRDefault="00D71080" w:rsidP="00D71080">
            <w:pPr>
              <w:pStyle w:val="Subtitle"/>
              <w:rPr>
                <w:szCs w:val="18"/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 xml:space="preserve">Këto slajde shpjegojnë dispozitat e ligjit procedural që kanë të bëjnë me ruajtjen e shpejtë të të dhënave kompjuterike të ruajtura sipas nenit 16 të Konventës së Budapestit dhe ruajtjen e shpejtë dhe zbulimin e pjesshëm të të dhënave të trafikut sipas nenit 17 të Konventës së Budapestit.</w:t>
            </w:r>
            <w:r>
              <w:rPr>
                <w:rFonts w:ascii="Verdana" w:hAnsi="Verdana"/>
              </w:rPr>
              <w:t xml:space="preserve"> </w:t>
            </w:r>
          </w:p>
          <w:p w14:paraId="5F10F4FA" w14:textId="77777777" w:rsidR="00D71080" w:rsidRPr="00D01845" w:rsidRDefault="00D71080" w:rsidP="00D71080">
            <w:pPr>
              <w:pStyle w:val="Subtitle"/>
              <w:rPr>
                <w:szCs w:val="18"/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 xml:space="preserve">Grupi i parë i slajdeve ofron një përmbledhje të kompetencave sipas nenit 16 të Konventës së Budapestit.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Ai gjithashtu ofron një studim rasti të një shembulli se si gjykata ka interpretuar një urdhër ruajtjeje.</w:t>
            </w:r>
            <w:r>
              <w:rPr>
                <w:rFonts w:ascii="Verdana" w:hAnsi="Verdana"/>
              </w:rPr>
              <w:t xml:space="preserve"> </w:t>
            </w:r>
          </w:p>
          <w:p w14:paraId="5BF7F502" w14:textId="77777777" w:rsidR="00D01845" w:rsidRDefault="00D71080" w:rsidP="00D01845">
            <w:pPr>
              <w:pStyle w:val="Subtitle"/>
              <w:spacing w:line="360" w:lineRule="auto"/>
              <w:rPr>
                <w:szCs w:val="18"/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 xml:space="preserve">Grupi tjetër i slajdeve është ndarë në dy kolona.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Kolona në anën e majtë përsërit tekstin e nenit 16 të Konventës së Budapestit me një element të veçantë të theksuar, ndërsa kolona në anën e djathtë ofron një shpjegim të elementit të theksuar.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Trajneri pritet të kalojë nëpër secilin element, për t'u ofruar pjesëmarrësve një kuptim gjithëpërfshirës të nenit 16 të Konventës së Budapestit.</w:t>
            </w:r>
          </w:p>
          <w:p w14:paraId="0F45619A" w14:textId="5C3AEF37" w:rsidR="00D01845" w:rsidRDefault="00D01845" w:rsidP="00D01845">
            <w:pPr>
              <w:pStyle w:val="Subtitle"/>
              <w:spacing w:line="360" w:lineRule="auto"/>
              <w:rPr>
                <w:szCs w:val="18"/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 xml:space="preserve">Grupi tjetër i slajdeve ofron një përmbledhje të kompetencave sipas nenit 17 të Konventës së Budapestit.</w:t>
            </w:r>
            <w:r>
              <w:rPr>
                <w:rFonts w:ascii="Verdana" w:hAnsi="Verdana"/>
              </w:rPr>
              <w:t xml:space="preserve"> </w:t>
            </w:r>
          </w:p>
          <w:p w14:paraId="6378AF90" w14:textId="77777777" w:rsidR="00EB0182" w:rsidRDefault="00D01845" w:rsidP="00EB0182">
            <w:pPr>
              <w:pStyle w:val="Subtitle"/>
              <w:rPr>
                <w:szCs w:val="18"/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 xml:space="preserve">Grupi i fundit i slajdeve është ndarë në dy kolona.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Kolona në anën e majtë përsërit tekstin e nenit 17 të Konventës së Budapestit me një element të veçantë të theksuar, ndërsa kolona në anën e djathtë ofron një shpjegim të elementit të theksuar.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Trajneri pritet të kalojë nëpër secilin element, për t'u ofruar pjesëmarrësve një kuptim gjithëpërfshirës të nenit 17 të Konventës së Budapestit.</w:t>
            </w:r>
          </w:p>
          <w:p w14:paraId="3581F574" w14:textId="7CA2F106" w:rsidR="00EB0182" w:rsidRPr="00EB0182" w:rsidRDefault="00EB0182" w:rsidP="00EB0182">
            <w:pPr>
              <w:pStyle w:val="Subtitle"/>
              <w:rPr>
                <w:szCs w:val="18"/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 xml:space="preserve">Trajneri mund t'u kërkojë pjesëmarrësve raste se si vendet e tyre zbatojnë kompetencat procedurale në lidhje me ruajtjen e shpejtë të të dhënave të ruajtura kompjuterike dhe ruajtjen e shpejtë dhe zbulimin e pjesshëm të të dhënave të trafikut.</w:t>
            </w:r>
          </w:p>
        </w:tc>
      </w:tr>
      <w:tr w:rsidR="00F1574D" w:rsidRPr="00D82C18" w14:paraId="4F010995" w14:textId="77777777" w:rsidTr="00F1574D">
        <w:trPr>
          <w:trHeight w:val="791"/>
        </w:trPr>
        <w:tc>
          <w:tcPr>
            <w:tcW w:w="1525" w:type="dxa"/>
            <w:vAlign w:val="center"/>
          </w:tcPr>
          <w:p w14:paraId="15E808BA" w14:textId="3C9BE693" w:rsidR="00556D69" w:rsidRDefault="00956062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28 deri 39</w:t>
            </w:r>
          </w:p>
          <w:p w14:paraId="48504862" w14:textId="307D4B02" w:rsidR="00C70C5C" w:rsidRDefault="00C70C5C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Slajdet e detyrueshme</w:t>
            </w:r>
          </w:p>
        </w:tc>
        <w:tc>
          <w:tcPr>
            <w:tcW w:w="7485" w:type="dxa"/>
            <w:gridSpan w:val="2"/>
            <w:vAlign w:val="center"/>
          </w:tcPr>
          <w:p w14:paraId="7EC273E7" w14:textId="7A5C9A9D" w:rsidR="00EB0182" w:rsidRPr="00D01845" w:rsidRDefault="00EB0182" w:rsidP="00EB0182">
            <w:pPr>
              <w:pStyle w:val="Subtitle"/>
              <w:rPr>
                <w:szCs w:val="18"/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 xml:space="preserve">Këto slajde shpjegojnë dispozitat e ligjit procedural në lidhje me urdhrin e prodhimit sipas nenit 18 të Konventës së Budapestit.</w:t>
            </w:r>
            <w:r>
              <w:rPr>
                <w:rFonts w:ascii="Verdana" w:hAnsi="Verdana"/>
              </w:rPr>
              <w:t xml:space="preserve"> </w:t>
            </w:r>
          </w:p>
          <w:p w14:paraId="04E56C9E" w14:textId="423CC9BF" w:rsidR="00EB0182" w:rsidRPr="00D01845" w:rsidRDefault="00EB0182" w:rsidP="00EB0182">
            <w:pPr>
              <w:pStyle w:val="Subtitle"/>
              <w:rPr>
                <w:szCs w:val="18"/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 xml:space="preserve">Grupi i parë i slajdeve ofron një përmbledhje të kompetencave sipas nenit 18 të Konventës së Budapestit.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Ai gjithashtu ofron një studim rasti të Belgjikës, Yahoo! rast i cili tregon zbatimin e nenit 18 të Konventës së Budapestit nga një vend.</w:t>
            </w:r>
            <w:r>
              <w:rPr>
                <w:rFonts w:ascii="Verdana" w:hAnsi="Verdana"/>
              </w:rPr>
              <w:t xml:space="preserve"> </w:t>
            </w:r>
          </w:p>
          <w:p w14:paraId="4AF5B3D7" w14:textId="2FB741B9" w:rsidR="00C70C5C" w:rsidRPr="00EB0182" w:rsidRDefault="00EB0182" w:rsidP="00EB0182">
            <w:pPr>
              <w:pStyle w:val="Subtitle"/>
              <w:spacing w:line="360" w:lineRule="auto"/>
              <w:rPr>
                <w:szCs w:val="18"/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 xml:space="preserve">Grupi tjetër i slajdeve është ndarë në dy kolona.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Kolona në anën e majtë përsërit tekstin e nenit 18 të Konventës së Budapestit me një element të veçantë të theksuar, ndërsa kolona në anën e djathtë ofron një shpjegim të elementit të theksuar.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Trajneri pritet të kalojë nëpër secilin element, për t'u ofruar pjesëmarrësve një kuptim gjithëpërfshirës të nenit 18 të Konventës së Budapestit.</w:t>
            </w:r>
          </w:p>
        </w:tc>
      </w:tr>
      <w:tr w:rsidR="00F1574D" w:rsidRPr="00D82C18" w14:paraId="35503B3F" w14:textId="77777777" w:rsidTr="00F1574D">
        <w:trPr>
          <w:trHeight w:val="1259"/>
        </w:trPr>
        <w:tc>
          <w:tcPr>
            <w:tcW w:w="1525" w:type="dxa"/>
            <w:vAlign w:val="center"/>
          </w:tcPr>
          <w:p w14:paraId="5A87A945" w14:textId="0B5F16FC" w:rsidR="00556D69" w:rsidRDefault="00956062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40 deri 41</w:t>
            </w:r>
          </w:p>
          <w:p w14:paraId="5DE9D224" w14:textId="2175AE8F" w:rsidR="00F1574D" w:rsidRPr="006527C6" w:rsidRDefault="00F1574D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Slajdet e rëndësishme</w:t>
            </w:r>
          </w:p>
        </w:tc>
        <w:tc>
          <w:tcPr>
            <w:tcW w:w="7485" w:type="dxa"/>
            <w:gridSpan w:val="2"/>
            <w:vAlign w:val="center"/>
          </w:tcPr>
          <w:p w14:paraId="6E2FA816" w14:textId="73122C7C" w:rsidR="00314D32" w:rsidRPr="00314D32" w:rsidRDefault="00192BC7" w:rsidP="00314D32">
            <w:pPr>
              <w:pStyle w:val="Subtitle"/>
              <w:spacing w:line="360" w:lineRule="auto"/>
            </w:pPr>
            <w:r>
              <w:rPr>
                <w:rFonts w:ascii="Verdana" w:hAnsi="Verdana"/>
              </w:rPr>
              <w:t xml:space="preserve">Trajneri duhet të rishikojë objektivat e seancës me pjesëmarrësit dhe t'u japë atyre mundësinë për të bërë ndonjë pyetje në lidhje me materialet e përfshira në këtë modul.</w:t>
            </w:r>
          </w:p>
        </w:tc>
      </w:tr>
      <w:tr w:rsidR="00CB3026" w:rsidRPr="00D82C18" w14:paraId="2ECF09B7" w14:textId="77777777" w:rsidTr="00F1574D">
        <w:trPr>
          <w:trHeight w:val="890"/>
        </w:trPr>
        <w:tc>
          <w:tcPr>
            <w:tcW w:w="9010" w:type="dxa"/>
            <w:gridSpan w:val="3"/>
            <w:vAlign w:val="center"/>
          </w:tcPr>
          <w:p w14:paraId="55ED1F4B" w14:textId="77777777" w:rsidR="00CB3026" w:rsidRDefault="00CB3026" w:rsidP="00CB3026">
            <w:pPr>
              <w:spacing w:before="120" w:after="120" w:line="280" w:lineRule="exact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rFonts w:ascii="Verdana" w:hAnsi="Verdana"/>
              </w:rPr>
              <w:t xml:space="preserve">Ushtrime praktike</w:t>
            </w:r>
          </w:p>
          <w:p w14:paraId="04D65D89" w14:textId="53DBD58E" w:rsidR="00CB3026" w:rsidRPr="00CB3026" w:rsidRDefault="009B4375" w:rsidP="00B3608C">
            <w:pPr>
              <w:spacing w:before="120" w:after="120" w:line="28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color w:val="000000" w:themeColor="text1"/>
                <w:sz w:val="18"/>
                <w:rFonts w:ascii="Verdana" w:hAnsi="Verdana"/>
              </w:rPr>
              <w:t xml:space="preserve">Nuk ka ushtrime praktike të lidhura me këtë orë mësimore.</w:t>
            </w:r>
          </w:p>
        </w:tc>
      </w:tr>
      <w:tr w:rsidR="00CB3026" w:rsidRPr="00D82C18" w14:paraId="603967A2" w14:textId="77777777" w:rsidTr="00F1574D">
        <w:tc>
          <w:tcPr>
            <w:tcW w:w="9010" w:type="dxa"/>
            <w:gridSpan w:val="3"/>
            <w:vAlign w:val="center"/>
          </w:tcPr>
          <w:p w14:paraId="57B48D1E" w14:textId="77777777" w:rsidR="00CB3026" w:rsidRDefault="00CB3026" w:rsidP="00CB3026">
            <w:pPr>
              <w:spacing w:before="120" w:after="120" w:line="280" w:lineRule="exact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rFonts w:ascii="Verdana" w:hAnsi="Verdana"/>
              </w:rPr>
              <w:t xml:space="preserve">Vlerësimi/Kontrolli i njohurive</w:t>
            </w:r>
          </w:p>
          <w:p w14:paraId="4496975B" w14:textId="1B3740FD" w:rsidR="00CB3026" w:rsidRPr="00CB3026" w:rsidRDefault="00CB3026" w:rsidP="00B3608C">
            <w:pPr>
              <w:spacing w:before="120" w:after="120" w:line="28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color w:val="000000" w:themeColor="text1"/>
                <w:sz w:val="18"/>
                <w:rFonts w:ascii="Verdana" w:hAnsi="Verdana"/>
              </w:rPr>
              <w:t xml:space="preserve">Asnjë kontroll ose vlerësim i njohurive nuk është kërkuar për këtë seancë.</w:t>
            </w:r>
          </w:p>
        </w:tc>
      </w:tr>
    </w:tbl>
    <w:p w14:paraId="15498912" w14:textId="77777777" w:rsidR="00D82C18" w:rsidRPr="00D82C18" w:rsidRDefault="00D82C18">
      <w:pPr>
        <w:rPr>
          <w:rFonts w:ascii="Verdana" w:hAnsi="Verdana"/>
        </w:rPr>
      </w:pPr>
    </w:p>
    <w:sectPr w:rsidR="00D82C18" w:rsidRPr="00D82C18" w:rsidSect="00F1574D">
      <w:pgSz w:w="11900" w:h="16840"/>
      <w:pgMar w:top="783" w:right="1440" w:bottom="119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 Bold">
    <w:altName w:val="Times New Roman"/>
    <w:panose1 w:val="020B0804030504040204"/>
    <w:charset w:val="00"/>
    <w:family w:val="auto"/>
    <w:pitch w:val="variable"/>
    <w:sig w:usb0="00000001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86C5820"/>
    <w:lvl w:ilvl="0">
      <w:numFmt w:val="decimal"/>
      <w:pStyle w:val="listbullet"/>
      <w:lvlText w:val="*"/>
      <w:lvlJc w:val="left"/>
      <w:rPr>
        <w:rFonts w:cs="Times New Roman"/>
      </w:rPr>
    </w:lvl>
  </w:abstractNum>
  <w:abstractNum w:abstractNumId="1" w15:restartNumberingAfterBreak="0">
    <w:nsid w:val="045266B2"/>
    <w:multiLevelType w:val="hybridMultilevel"/>
    <w:tmpl w:val="F43057EC"/>
    <w:lvl w:ilvl="0" w:tplc="77BA8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CAFF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60B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A28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3C0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B46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B26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889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FED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B3724DC"/>
    <w:multiLevelType w:val="hybridMultilevel"/>
    <w:tmpl w:val="642C6C28"/>
    <w:lvl w:ilvl="0" w:tplc="1E307DD2">
      <w:start w:val="1"/>
      <w:numFmt w:val="bullet"/>
      <w:pStyle w:val="bu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1461F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" w15:restartNumberingAfterBreak="0">
    <w:nsid w:val="409255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AE54E4"/>
    <w:multiLevelType w:val="hybridMultilevel"/>
    <w:tmpl w:val="D2C2D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B2C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48348D"/>
    <w:multiLevelType w:val="hybridMultilevel"/>
    <w:tmpl w:val="A1FA8F48"/>
    <w:lvl w:ilvl="0" w:tplc="28964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D47924">
      <w:numFmt w:val="none"/>
      <w:lvlText w:val=""/>
      <w:lvlJc w:val="left"/>
      <w:pPr>
        <w:tabs>
          <w:tab w:val="num" w:pos="360"/>
        </w:tabs>
      </w:pPr>
    </w:lvl>
    <w:lvl w:ilvl="2" w:tplc="BCA227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0A7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2E3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4F2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D03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9A71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1C5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E2058DF"/>
    <w:multiLevelType w:val="hybridMultilevel"/>
    <w:tmpl w:val="FE9681DE"/>
    <w:lvl w:ilvl="0" w:tplc="0A8AC0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2840D9"/>
    <w:multiLevelType w:val="hybridMultilevel"/>
    <w:tmpl w:val="FE127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26929"/>
    <w:multiLevelType w:val="hybridMultilevel"/>
    <w:tmpl w:val="8EC0BE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53E50"/>
    <w:multiLevelType w:val="multilevel"/>
    <w:tmpl w:val="99E2FBE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Verdana" w:hAnsi="Verdana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CCA1946"/>
    <w:multiLevelType w:val="hybridMultilevel"/>
    <w:tmpl w:val="7A50B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2"/>
  </w:num>
  <w:num w:numId="7">
    <w:abstractNumId w:val="2"/>
  </w:num>
  <w:num w:numId="8">
    <w:abstractNumId w:val="0"/>
    <w:lvlOverride w:ilvl="0">
      <w:lvl w:ilvl="0">
        <w:start w:val="1"/>
        <w:numFmt w:val="bullet"/>
        <w:pStyle w:val="listbullet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</w:rPr>
      </w:lvl>
    </w:lvlOverride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dirty" w:grammar="dirty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18"/>
    <w:rsid w:val="00004EF1"/>
    <w:rsid w:val="00027F4D"/>
    <w:rsid w:val="00051376"/>
    <w:rsid w:val="000C40EE"/>
    <w:rsid w:val="000D0409"/>
    <w:rsid w:val="000F04E4"/>
    <w:rsid w:val="000F7896"/>
    <w:rsid w:val="00166AE7"/>
    <w:rsid w:val="00192BC7"/>
    <w:rsid w:val="001A1F68"/>
    <w:rsid w:val="001D2D02"/>
    <w:rsid w:val="001D603D"/>
    <w:rsid w:val="001E7389"/>
    <w:rsid w:val="00207B05"/>
    <w:rsid w:val="00254BD5"/>
    <w:rsid w:val="00271010"/>
    <w:rsid w:val="002E3ECE"/>
    <w:rsid w:val="002F3B54"/>
    <w:rsid w:val="00312734"/>
    <w:rsid w:val="00314D32"/>
    <w:rsid w:val="00325B4C"/>
    <w:rsid w:val="0034224C"/>
    <w:rsid w:val="00342639"/>
    <w:rsid w:val="003453F7"/>
    <w:rsid w:val="003630ED"/>
    <w:rsid w:val="00372572"/>
    <w:rsid w:val="00394E20"/>
    <w:rsid w:val="003A435F"/>
    <w:rsid w:val="003F6587"/>
    <w:rsid w:val="00437AF3"/>
    <w:rsid w:val="00450007"/>
    <w:rsid w:val="00457DD3"/>
    <w:rsid w:val="00491C99"/>
    <w:rsid w:val="004B7351"/>
    <w:rsid w:val="00514FE0"/>
    <w:rsid w:val="00556D69"/>
    <w:rsid w:val="005703B7"/>
    <w:rsid w:val="005A4E47"/>
    <w:rsid w:val="005D4432"/>
    <w:rsid w:val="006527C6"/>
    <w:rsid w:val="00671ADF"/>
    <w:rsid w:val="006B0B52"/>
    <w:rsid w:val="006B3820"/>
    <w:rsid w:val="006D4EB9"/>
    <w:rsid w:val="006E314A"/>
    <w:rsid w:val="006F5E5F"/>
    <w:rsid w:val="0075334E"/>
    <w:rsid w:val="007678A6"/>
    <w:rsid w:val="00775CE6"/>
    <w:rsid w:val="007E3B3E"/>
    <w:rsid w:val="007E44F7"/>
    <w:rsid w:val="00844FBF"/>
    <w:rsid w:val="008817F1"/>
    <w:rsid w:val="008A4C93"/>
    <w:rsid w:val="008C3900"/>
    <w:rsid w:val="008E3FE7"/>
    <w:rsid w:val="00906F18"/>
    <w:rsid w:val="00951791"/>
    <w:rsid w:val="00956062"/>
    <w:rsid w:val="009B4375"/>
    <w:rsid w:val="009D1DB1"/>
    <w:rsid w:val="009E1390"/>
    <w:rsid w:val="009E3827"/>
    <w:rsid w:val="009F336B"/>
    <w:rsid w:val="00A03CF0"/>
    <w:rsid w:val="00A31A58"/>
    <w:rsid w:val="00A342ED"/>
    <w:rsid w:val="00A4110D"/>
    <w:rsid w:val="00A439ED"/>
    <w:rsid w:val="00A55067"/>
    <w:rsid w:val="00A734A5"/>
    <w:rsid w:val="00A76996"/>
    <w:rsid w:val="00A94D8B"/>
    <w:rsid w:val="00AA5742"/>
    <w:rsid w:val="00AC1380"/>
    <w:rsid w:val="00AC45A8"/>
    <w:rsid w:val="00B3608C"/>
    <w:rsid w:val="00BA7368"/>
    <w:rsid w:val="00BF2657"/>
    <w:rsid w:val="00C115FC"/>
    <w:rsid w:val="00C541A2"/>
    <w:rsid w:val="00C70C5C"/>
    <w:rsid w:val="00C83397"/>
    <w:rsid w:val="00CB02C4"/>
    <w:rsid w:val="00CB3026"/>
    <w:rsid w:val="00CC1F79"/>
    <w:rsid w:val="00D01845"/>
    <w:rsid w:val="00D71080"/>
    <w:rsid w:val="00D82C18"/>
    <w:rsid w:val="00E13BE7"/>
    <w:rsid w:val="00E7344B"/>
    <w:rsid w:val="00E95703"/>
    <w:rsid w:val="00EB0182"/>
    <w:rsid w:val="00F1574D"/>
    <w:rsid w:val="00F504D6"/>
    <w:rsid w:val="00F62A15"/>
    <w:rsid w:val="00F955B5"/>
    <w:rsid w:val="00FA5D5D"/>
    <w:rsid w:val="00FB24E8"/>
    <w:rsid w:val="00FB6DE5"/>
    <w:rsid w:val="00FC3D65"/>
    <w:rsid w:val="00FE45CA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CF78"/>
  <w14:defaultImageDpi w14:val="32767"/>
  <w15:docId w15:val="{F20326E9-F316-4B3A-9582-EFEC2E12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q-A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autoRedefine/>
    <w:uiPriority w:val="9"/>
    <w:qFormat/>
    <w:rsid w:val="003453F7"/>
    <w:pPr>
      <w:keepNext/>
      <w:keepLines/>
      <w:numPr>
        <w:numId w:val="9"/>
      </w:numPr>
      <w:spacing w:before="120" w:after="240" w:line="260" w:lineRule="atLeast"/>
      <w:ind w:right="-79"/>
      <w:jc w:val="both"/>
      <w:outlineLvl w:val="0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F7"/>
    <w:pPr>
      <w:keepNext/>
      <w:keepLines/>
      <w:numPr>
        <w:ilvl w:val="1"/>
        <w:numId w:val="9"/>
      </w:numPr>
      <w:spacing w:before="120" w:after="240" w:line="280" w:lineRule="atLeast"/>
      <w:ind w:right="-79"/>
      <w:jc w:val="both"/>
      <w:outlineLvl w:val="1"/>
    </w:pPr>
    <w:rPr>
      <w:rFonts w:ascii="Verdana" w:eastAsiaTheme="majorEastAsia" w:hAnsi="Verdan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F7"/>
    <w:pPr>
      <w:keepNext/>
      <w:keepLines/>
      <w:numPr>
        <w:ilvl w:val="2"/>
        <w:numId w:val="9"/>
      </w:numPr>
      <w:spacing w:before="120" w:after="240" w:line="280" w:lineRule="atLeast"/>
      <w:ind w:left="851" w:right="-79" w:hanging="851"/>
      <w:jc w:val="both"/>
      <w:outlineLvl w:val="2"/>
    </w:pPr>
    <w:rPr>
      <w:rFonts w:ascii="Verdana" w:eastAsiaTheme="majorEastAsia" w:hAnsi="Verdana" w:cstheme="majorBidi"/>
      <w:b/>
      <w:bCs/>
      <w:sz w:val="1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53F7"/>
    <w:pPr>
      <w:keepNext/>
      <w:keepLines/>
      <w:numPr>
        <w:ilvl w:val="3"/>
        <w:numId w:val="9"/>
      </w:numPr>
      <w:spacing w:before="120" w:after="120" w:line="280" w:lineRule="atLeast"/>
      <w:ind w:right="-79"/>
      <w:jc w:val="both"/>
      <w:outlineLvl w:val="3"/>
    </w:pPr>
    <w:rPr>
      <w:rFonts w:ascii="Verdana" w:eastAsiaTheme="majorEastAsia" w:hAnsi="Verdana" w:cstheme="majorBidi"/>
      <w:b/>
      <w:bCs/>
      <w:iCs/>
      <w:sz w:val="18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53F7"/>
    <w:pPr>
      <w:keepNext/>
      <w:keepLines/>
      <w:numPr>
        <w:ilvl w:val="4"/>
        <w:numId w:val="9"/>
      </w:numPr>
      <w:spacing w:before="200" w:line="280" w:lineRule="atLeast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53F7"/>
    <w:pPr>
      <w:keepNext/>
      <w:keepLines/>
      <w:numPr>
        <w:ilvl w:val="5"/>
        <w:numId w:val="9"/>
      </w:numPr>
      <w:spacing w:before="200" w:line="280" w:lineRule="atLeast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453F7"/>
    <w:pPr>
      <w:keepNext/>
      <w:keepLines/>
      <w:numPr>
        <w:ilvl w:val="6"/>
        <w:numId w:val="9"/>
      </w:numPr>
      <w:spacing w:before="200" w:line="280" w:lineRule="atLeast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453F7"/>
    <w:pPr>
      <w:keepNext/>
      <w:keepLines/>
      <w:numPr>
        <w:ilvl w:val="7"/>
        <w:numId w:val="9"/>
      </w:numPr>
      <w:spacing w:before="200" w:line="280" w:lineRule="atLeast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453F7"/>
    <w:pPr>
      <w:keepNext/>
      <w:keepLines/>
      <w:numPr>
        <w:ilvl w:val="8"/>
        <w:numId w:val="9"/>
      </w:numPr>
      <w:spacing w:before="200" w:line="280" w:lineRule="atLeast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C18"/>
    <w:pPr>
      <w:ind w:left="720"/>
      <w:contextualSpacing/>
    </w:pPr>
  </w:style>
  <w:style w:type="paragraph" w:customStyle="1" w:styleId="bul1">
    <w:name w:val="bul1"/>
    <w:basedOn w:val="Normal"/>
    <w:link w:val="bul1Char"/>
    <w:qFormat/>
    <w:rsid w:val="00E7344B"/>
    <w:pPr>
      <w:numPr>
        <w:numId w:val="7"/>
      </w:numPr>
      <w:spacing w:line="280" w:lineRule="atLeast"/>
      <w:ind w:left="851" w:hanging="851"/>
      <w:jc w:val="both"/>
    </w:pPr>
    <w:rPr>
      <w:rFonts w:ascii="Verdana" w:eastAsia="Calibri" w:hAnsi="Verdana" w:cs="Times New Roman"/>
      <w:sz w:val="18"/>
      <w:lang w:val="sq-AL" w:eastAsia="de-DE"/>
    </w:rPr>
  </w:style>
  <w:style w:type="character" w:customStyle="1" w:styleId="bul1Char">
    <w:name w:val="bul1 Char"/>
    <w:link w:val="bul1"/>
    <w:locked/>
    <w:rsid w:val="00E7344B"/>
    <w:rPr>
      <w:rFonts w:ascii="Verdana" w:eastAsia="Calibri" w:hAnsi="Verdana" w:cs="Times New Roman"/>
      <w:sz w:val="18"/>
      <w:lang w:val="sq-AL" w:eastAsia="de-DE"/>
    </w:rPr>
  </w:style>
  <w:style w:type="character" w:styleId="Hyperlink">
    <w:name w:val="Hyperlink"/>
    <w:basedOn w:val="DefaultParagraphFont"/>
    <w:uiPriority w:val="99"/>
    <w:unhideWhenUsed/>
    <w:rsid w:val="005703B7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026"/>
    <w:pPr>
      <w:numPr>
        <w:ilvl w:val="1"/>
      </w:numPr>
      <w:spacing w:before="20" w:after="120" w:line="280" w:lineRule="atLeast"/>
      <w:jc w:val="both"/>
    </w:pPr>
    <w:rPr>
      <w:rFonts w:ascii="Verdana Bold" w:eastAsiaTheme="majorEastAsia" w:hAnsi="Verdana Bold" w:cstheme="majorBidi"/>
      <w:iCs/>
      <w:color w:val="000000" w:themeColor="text1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B3026"/>
    <w:rPr>
      <w:rFonts w:ascii="Verdana Bold" w:eastAsiaTheme="majorEastAsia" w:hAnsi="Verdana Bold" w:cstheme="majorBidi"/>
      <w:iCs/>
      <w:color w:val="000000" w:themeColor="text1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453F7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453F7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F7"/>
    <w:rPr>
      <w:rFonts w:ascii="Verdana" w:eastAsiaTheme="majorEastAsia" w:hAnsi="Verdana" w:cstheme="majorBidi"/>
      <w:b/>
      <w:bCs/>
      <w:sz w:val="1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453F7"/>
    <w:rPr>
      <w:rFonts w:ascii="Verdana" w:eastAsiaTheme="majorEastAsia" w:hAnsi="Verdana" w:cstheme="majorBidi"/>
      <w:b/>
      <w:bCs/>
      <w:iCs/>
      <w:sz w:val="1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453F7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453F7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453F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453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453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listbullet">
    <w:name w:val="listbullet"/>
    <w:basedOn w:val="Normal"/>
    <w:rsid w:val="003453F7"/>
    <w:pPr>
      <w:numPr>
        <w:numId w:val="8"/>
      </w:numPr>
      <w:tabs>
        <w:tab w:val="left" w:pos="567"/>
      </w:tabs>
      <w:spacing w:line="280" w:lineRule="atLeast"/>
      <w:jc w:val="both"/>
    </w:pPr>
    <w:rPr>
      <w:rFonts w:ascii="Book Antiqua" w:eastAsia="Calibri" w:hAnsi="Book Antiqua" w:cs="Times New Roman"/>
      <w:sz w:val="19"/>
      <w:szCs w:val="20"/>
    </w:rPr>
  </w:style>
  <w:style w:type="paragraph" w:styleId="NormalWeb">
    <w:name w:val="Normal (Web)"/>
    <w:basedOn w:val="Normal"/>
    <w:uiPriority w:val="99"/>
    <w:semiHidden/>
    <w:unhideWhenUsed/>
    <w:rsid w:val="00556D69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F297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B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4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8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4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50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93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2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1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17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21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73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&#65279;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m.coe.int/16800cce5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Nigel (nigel.jones@canterbury.ac.uk)</dc:creator>
  <cp:keywords/>
  <dc:description/>
  <cp:lastModifiedBy>Abbas Lotia</cp:lastModifiedBy>
  <cp:revision>4</cp:revision>
  <dcterms:created xsi:type="dcterms:W3CDTF">2020-10-14T10:22:00Z</dcterms:created>
  <dcterms:modified xsi:type="dcterms:W3CDTF">2020-10-14T14:45:00Z</dcterms:modified>
</cp:coreProperties>
</file>