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6E6F1" w14:textId="119961CB" w:rsidR="00151ADF" w:rsidRPr="00151ADF" w:rsidRDefault="00B71D66" w:rsidP="00151ADF">
      <w:pPr>
        <w:pStyle w:val="ListParagraph"/>
        <w:ind w:left="0"/>
        <w:rPr>
          <w:b/>
          <w:sz w:val="32"/>
          <w:szCs w:val="32"/>
          <w:rFonts w:ascii="Verdana" w:hAnsi="Verdana"/>
        </w:rPr>
      </w:pPr>
      <w:r>
        <w:rPr>
          <w:b/>
          <w:sz w:val="32"/>
          <w:rFonts w:ascii="Verdana" w:hAnsi="Verdana"/>
        </w:rPr>
        <w:t xml:space="preserve">Plani mësimor</w:t>
      </w:r>
      <w:r>
        <w:rPr>
          <w:b/>
          <w:sz w:val="32"/>
          <w:rFonts w:ascii="Verdana" w:hAnsi="Verdana"/>
        </w:rPr>
        <w:t xml:space="preserve"> </w:t>
      </w:r>
    </w:p>
    <w:p w14:paraId="297047B4" w14:textId="77777777" w:rsidR="00B71D66" w:rsidRPr="003406F3" w:rsidRDefault="00B71D66" w:rsidP="00B71D66">
      <w:pPr>
        <w:pStyle w:val="ListParagraph"/>
        <w:ind w:left="360"/>
        <w:rPr>
          <w:rFonts w:ascii="Verdana" w:hAnsi="Verdana"/>
        </w:rPr>
      </w:pPr>
    </w:p>
    <w:p w14:paraId="6857C56D" w14:textId="3A26C474" w:rsidR="00D82C18" w:rsidRPr="00151ADF" w:rsidRDefault="00D82C18" w:rsidP="00151ADF">
      <w:pPr>
        <w:pStyle w:val="ListParagraph"/>
        <w:ind w:left="0"/>
        <w:rPr>
          <w:b/>
          <w:sz w:val="32"/>
          <w:szCs w:val="32"/>
          <w:rFonts w:ascii="Verdana" w:hAnsi="Verdana"/>
        </w:rPr>
      </w:pPr>
      <w:r>
        <w:rPr>
          <w:sz w:val="28"/>
          <w:rFonts w:ascii="Verdana" w:hAnsi="Verdana"/>
        </w:rPr>
        <w:t xml:space="preserve">Mësimi 3.x (Përmbledhje e hetimit të krimit kibernetik:</w:t>
      </w:r>
      <w:r>
        <w:rPr>
          <w:sz w:val="28"/>
          <w:rFonts w:ascii="Verdana" w:hAnsi="Verdana"/>
        </w:rPr>
        <w:t xml:space="preserve"> </w:t>
      </w:r>
      <w:r>
        <w:rPr>
          <w:sz w:val="28"/>
          <w:rFonts w:ascii="Verdana" w:hAnsi="Verdana"/>
        </w:rPr>
        <w:t xml:space="preserve">Përvoja Vendore dhe Ndërkombëtare)</w:t>
      </w:r>
    </w:p>
    <w:p w14:paraId="0A3DD02D" w14:textId="77777777" w:rsidR="00D82C18" w:rsidRPr="003406F3" w:rsidRDefault="00D82C18" w:rsidP="00B71D66">
      <w:pPr>
        <w:ind w:left="720"/>
        <w:rPr>
          <w:rFonts w:ascii="Verdana" w:hAnsi="Verdana"/>
        </w:rPr>
      </w:pPr>
    </w:p>
    <w:tbl>
      <w:tblPr>
        <w:tblStyle w:val="TableGrid"/>
        <w:tblW w:w="0" w:type="auto"/>
        <w:tblLook w:val="04A0" w:firstRow="1" w:lastRow="0" w:firstColumn="1" w:lastColumn="0" w:noHBand="0" w:noVBand="1"/>
      </w:tblPr>
      <w:tblGrid>
        <w:gridCol w:w="1615"/>
        <w:gridCol w:w="4711"/>
        <w:gridCol w:w="2684"/>
      </w:tblGrid>
      <w:tr w:rsidR="003406F3" w:rsidRPr="003406F3" w14:paraId="58A3485E" w14:textId="77777777" w:rsidTr="00CB3026">
        <w:trPr>
          <w:trHeight w:val="872"/>
        </w:trPr>
        <w:tc>
          <w:tcPr>
            <w:tcW w:w="6326" w:type="dxa"/>
            <w:gridSpan w:val="2"/>
            <w:shd w:val="clear" w:color="auto" w:fill="DEEAF6" w:themeFill="accent5" w:themeFillTint="33"/>
            <w:vAlign w:val="center"/>
          </w:tcPr>
          <w:p w14:paraId="0067FF35" w14:textId="71F23E76" w:rsidR="00D82C18" w:rsidRPr="003406F3" w:rsidRDefault="00D82C18" w:rsidP="00397FEA">
            <w:pPr>
              <w:rPr>
                <w:sz w:val="22"/>
                <w:szCs w:val="22"/>
                <w:rFonts w:ascii="Verdana" w:hAnsi="Verdana"/>
              </w:rPr>
            </w:pPr>
            <w:r>
              <w:rPr>
                <w:sz w:val="22"/>
                <w:rFonts w:ascii="Verdana" w:hAnsi="Verdana"/>
              </w:rPr>
              <w:t xml:space="preserve">Mësimi 3.x (Konceptet bazike për bashkëpunimin ndërkombëtar)</w:t>
            </w:r>
          </w:p>
        </w:tc>
        <w:tc>
          <w:tcPr>
            <w:tcW w:w="2684" w:type="dxa"/>
            <w:shd w:val="clear" w:color="auto" w:fill="DEEAF6" w:themeFill="accent5" w:themeFillTint="33"/>
            <w:vAlign w:val="center"/>
          </w:tcPr>
          <w:p w14:paraId="30B631DA" w14:textId="5B39022F" w:rsidR="00D82C18" w:rsidRPr="003406F3" w:rsidRDefault="00D82C18" w:rsidP="006B6864">
            <w:pPr>
              <w:rPr>
                <w:sz w:val="22"/>
                <w:szCs w:val="22"/>
                <w:rFonts w:ascii="Verdana" w:hAnsi="Verdana"/>
              </w:rPr>
            </w:pPr>
            <w:r>
              <w:rPr>
                <w:sz w:val="22"/>
                <w:rFonts w:ascii="Verdana" w:hAnsi="Verdana"/>
              </w:rPr>
              <w:t xml:space="preserve">Kohëzgjatja:</w:t>
            </w:r>
            <w:r>
              <w:rPr>
                <w:sz w:val="22"/>
                <w:rFonts w:ascii="Verdana" w:hAnsi="Verdana"/>
              </w:rPr>
              <w:t xml:space="preserve"> </w:t>
            </w:r>
            <w:r>
              <w:rPr>
                <w:sz w:val="22"/>
                <w:rFonts w:ascii="Verdana" w:hAnsi="Verdana"/>
              </w:rPr>
              <w:t xml:space="preserve">90 minuta</w:t>
            </w:r>
          </w:p>
        </w:tc>
      </w:tr>
      <w:tr w:rsidR="003406F3" w:rsidRPr="003406F3" w14:paraId="7C1107AB" w14:textId="77777777" w:rsidTr="00B569A5">
        <w:trPr>
          <w:trHeight w:val="1025"/>
        </w:trPr>
        <w:tc>
          <w:tcPr>
            <w:tcW w:w="9010" w:type="dxa"/>
            <w:gridSpan w:val="3"/>
            <w:vAlign w:val="center"/>
          </w:tcPr>
          <w:p w14:paraId="54042637" w14:textId="5D5B0179" w:rsidR="00E7344B" w:rsidRPr="003406F3" w:rsidRDefault="00E7344B" w:rsidP="005951B6">
            <w:pPr>
              <w:spacing w:before="120" w:after="120" w:line="280" w:lineRule="exact"/>
              <w:rPr>
                <w:b/>
                <w:sz w:val="22"/>
                <w:szCs w:val="22"/>
                <w:rFonts w:ascii="Verdana" w:hAnsi="Verdana"/>
              </w:rPr>
            </w:pPr>
            <w:r>
              <w:rPr>
                <w:b/>
                <w:sz w:val="22"/>
                <w:rFonts w:ascii="Verdana" w:hAnsi="Verdana"/>
              </w:rPr>
              <w:t xml:space="preserve">Burimet e nevojshme:</w:t>
            </w:r>
          </w:p>
          <w:p w14:paraId="3E3ADEA0" w14:textId="77777777" w:rsidR="00E7344B" w:rsidRPr="003406F3" w:rsidRDefault="00E7344B" w:rsidP="00F62A15">
            <w:pPr>
              <w:pStyle w:val="bul1"/>
              <w:numPr>
                <w:ilvl w:val="0"/>
                <w:numId w:val="6"/>
              </w:numPr>
              <w:spacing w:before="120" w:after="120" w:line="280" w:lineRule="exact"/>
              <w:contextualSpacing/>
              <w:rPr>
                <w:szCs w:val="18"/>
              </w:rPr>
            </w:pPr>
            <w:r>
              <w:t xml:space="preserve">PC/Laptop ngarkuar me versione softuerësh të pajtueshëm me materialet e përgatitura</w:t>
            </w:r>
          </w:p>
          <w:p w14:paraId="737B8760" w14:textId="77777777" w:rsidR="00E7344B" w:rsidRPr="003406F3" w:rsidRDefault="00E7344B" w:rsidP="00F62A15">
            <w:pPr>
              <w:pStyle w:val="bul1"/>
              <w:numPr>
                <w:ilvl w:val="0"/>
                <w:numId w:val="6"/>
              </w:numPr>
              <w:spacing w:before="120" w:after="120" w:line="280" w:lineRule="exact"/>
              <w:contextualSpacing/>
              <w:rPr>
                <w:szCs w:val="18"/>
              </w:rPr>
            </w:pPr>
            <w:r>
              <w:t xml:space="preserve">Projektor dhe ekran për shfaqje.</w:t>
            </w:r>
          </w:p>
          <w:p w14:paraId="65055340" w14:textId="77777777" w:rsidR="00E7344B" w:rsidRPr="003406F3" w:rsidRDefault="00E7344B" w:rsidP="00F62A15">
            <w:pPr>
              <w:pStyle w:val="bul1"/>
              <w:numPr>
                <w:ilvl w:val="0"/>
                <w:numId w:val="6"/>
              </w:numPr>
              <w:spacing w:before="120" w:after="120" w:line="280" w:lineRule="exact"/>
              <w:contextualSpacing/>
              <w:rPr>
                <w:szCs w:val="18"/>
              </w:rPr>
            </w:pPr>
            <w:r>
              <w:t xml:space="preserve">Qasje në internet (nëse ka).</w:t>
            </w:r>
            <w:r>
              <w:t xml:space="preserve"> </w:t>
            </w:r>
          </w:p>
          <w:p w14:paraId="14CF9EF0" w14:textId="73EC6711" w:rsidR="00E7344B" w:rsidRPr="003406F3" w:rsidRDefault="00E7344B" w:rsidP="00B569A5">
            <w:pPr>
              <w:pStyle w:val="bul1"/>
              <w:numPr>
                <w:ilvl w:val="0"/>
                <w:numId w:val="6"/>
              </w:numPr>
              <w:spacing w:before="120" w:after="120" w:line="280" w:lineRule="exact"/>
              <w:contextualSpacing/>
              <w:rPr>
                <w:i/>
                <w:szCs w:val="18"/>
              </w:rPr>
            </w:pPr>
            <w:r>
              <w:t xml:space="preserve">Fletore për shënime për pjesëmarrës dhe lapsa kimik.</w:t>
            </w:r>
          </w:p>
        </w:tc>
      </w:tr>
      <w:tr w:rsidR="003406F3" w:rsidRPr="003406F3" w14:paraId="635F2EFD" w14:textId="77777777" w:rsidTr="00B569A5">
        <w:trPr>
          <w:trHeight w:val="1241"/>
        </w:trPr>
        <w:tc>
          <w:tcPr>
            <w:tcW w:w="9010" w:type="dxa"/>
            <w:gridSpan w:val="3"/>
            <w:vAlign w:val="center"/>
          </w:tcPr>
          <w:p w14:paraId="34602AF3" w14:textId="1EB448F3" w:rsidR="00A03CF0" w:rsidRPr="003406F3" w:rsidRDefault="00A03CF0" w:rsidP="00F62A15">
            <w:pPr>
              <w:spacing w:before="120" w:after="120" w:line="280" w:lineRule="exact"/>
              <w:rPr>
                <w:b/>
                <w:sz w:val="22"/>
                <w:szCs w:val="22"/>
                <w:rFonts w:ascii="Verdana" w:hAnsi="Verdana"/>
              </w:rPr>
            </w:pPr>
            <w:r>
              <w:rPr>
                <w:b/>
                <w:sz w:val="22"/>
                <w:rFonts w:ascii="Verdana" w:hAnsi="Verdana"/>
              </w:rPr>
              <w:t xml:space="preserve">Qëllimi i seancës:</w:t>
            </w:r>
            <w:r>
              <w:rPr>
                <w:b/>
                <w:sz w:val="22"/>
                <w:rFonts w:ascii="Verdana" w:hAnsi="Verdana"/>
              </w:rPr>
              <w:t xml:space="preserve">  </w:t>
            </w:r>
          </w:p>
          <w:p w14:paraId="3FE58655" w14:textId="75355C62" w:rsidR="00A03CF0" w:rsidRPr="003406F3" w:rsidRDefault="007B75A9" w:rsidP="0051122C">
            <w:pPr>
              <w:spacing w:before="120" w:after="120" w:line="280" w:lineRule="exact"/>
              <w:jc w:val="both"/>
              <w:rPr>
                <w:sz w:val="18"/>
                <w:szCs w:val="18"/>
                <w:rFonts w:ascii="Verdana" w:hAnsi="Verdana"/>
              </w:rPr>
            </w:pPr>
            <w:r>
              <w:rPr>
                <w:sz w:val="18"/>
                <w:rFonts w:ascii="Verdana" w:hAnsi="Verdana"/>
              </w:rPr>
              <w:t xml:space="preserve">Qëllimi i përgjithshëm i kësaj seance është t'u prezantojë pjesëmarrësve një përmbledhje të hetimit të krimit kibernetik krahasuar me përvojat ndërkombëtare dhe vendore.</w:t>
            </w:r>
            <w:r>
              <w:rPr>
                <w:sz w:val="18"/>
                <w:rFonts w:ascii="Verdana" w:hAnsi="Verdana"/>
              </w:rPr>
              <w:t xml:space="preserve"> </w:t>
            </w:r>
            <w:r>
              <w:rPr>
                <w:sz w:val="18"/>
                <w:rFonts w:ascii="Verdana" w:hAnsi="Verdana"/>
              </w:rPr>
              <w:t xml:space="preserve">Pjesëmarrësve do t’u paraqitet përshkrimi i autoriteteve të krimit kibernetik, vendosja e tyre, aspektet thelbësore dhe procedurale të hetimit, baza e hetimit në struktura të ndryshme ligjore dhe disa përvoja konkrete ndërkombëtare dhe vendore.</w:t>
            </w:r>
          </w:p>
        </w:tc>
      </w:tr>
      <w:tr w:rsidR="003406F3" w:rsidRPr="003406F3" w14:paraId="1B5A80A7" w14:textId="77777777" w:rsidTr="00B569A5">
        <w:trPr>
          <w:trHeight w:val="2240"/>
        </w:trPr>
        <w:tc>
          <w:tcPr>
            <w:tcW w:w="9010" w:type="dxa"/>
            <w:gridSpan w:val="3"/>
            <w:vAlign w:val="center"/>
          </w:tcPr>
          <w:p w14:paraId="559A7E05" w14:textId="77777777" w:rsidR="00A03CF0" w:rsidRPr="003406F3" w:rsidRDefault="00271010" w:rsidP="00F62A15">
            <w:pPr>
              <w:spacing w:before="120" w:after="120" w:line="280" w:lineRule="exact"/>
              <w:contextualSpacing/>
              <w:rPr>
                <w:b/>
                <w:sz w:val="22"/>
                <w:szCs w:val="22"/>
                <w:rFonts w:ascii="Verdana" w:hAnsi="Verdana"/>
              </w:rPr>
            </w:pPr>
            <w:r>
              <w:rPr>
                <w:b/>
                <w:sz w:val="22"/>
                <w:rFonts w:ascii="Verdana" w:hAnsi="Verdana"/>
              </w:rPr>
              <w:t xml:space="preserve">Objektivat:</w:t>
            </w:r>
          </w:p>
          <w:p w14:paraId="3BEE7864" w14:textId="77777777" w:rsidR="005703B7" w:rsidRPr="003406F3" w:rsidRDefault="005703B7" w:rsidP="00CB3026">
            <w:pPr>
              <w:tabs>
                <w:tab w:val="left" w:pos="426"/>
                <w:tab w:val="left" w:pos="851"/>
              </w:tabs>
              <w:spacing w:before="120" w:after="120" w:line="280" w:lineRule="exact"/>
              <w:contextualSpacing/>
              <w:jc w:val="both"/>
              <w:rPr>
                <w:sz w:val="18"/>
                <w:szCs w:val="18"/>
                <w:rFonts w:ascii="Verdana" w:eastAsia="Times New Roman" w:hAnsi="Verdana" w:cs="Times New Roman"/>
              </w:rPr>
            </w:pPr>
            <w:r>
              <w:rPr>
                <w:sz w:val="18"/>
                <w:rFonts w:ascii="Verdana" w:hAnsi="Verdana"/>
              </w:rPr>
              <w:t xml:space="preserve">Në fund të orës së mësimit studentët do të jenë në gjendje të:</w:t>
            </w:r>
          </w:p>
          <w:p w14:paraId="5836D1DE" w14:textId="77777777" w:rsidR="00C03A1E" w:rsidRPr="00C03A1E" w:rsidRDefault="00C03A1E" w:rsidP="00C03A1E">
            <w:pPr>
              <w:pStyle w:val="bul1"/>
              <w:spacing w:before="120" w:after="120" w:line="280" w:lineRule="exact"/>
              <w:ind w:left="697" w:hanging="360"/>
              <w:rPr>
                <w:szCs w:val="18"/>
              </w:rPr>
            </w:pPr>
            <w:r>
              <w:t xml:space="preserve">Kuptojnë kornizën ligjore dhe organizimin praktik të autoriteteve kompetente për shtypjen dhe gjykimin e krimit kibernetik</w:t>
            </w:r>
            <w:r>
              <w:t xml:space="preserve"> </w:t>
            </w:r>
          </w:p>
          <w:p w14:paraId="4A1E05DE" w14:textId="77777777" w:rsidR="00C03A1E" w:rsidRPr="00C03A1E" w:rsidRDefault="00C03A1E" w:rsidP="00C03A1E">
            <w:pPr>
              <w:pStyle w:val="bul1"/>
              <w:spacing w:before="120" w:after="120" w:line="280" w:lineRule="exact"/>
              <w:ind w:left="697" w:hanging="360"/>
              <w:rPr>
                <w:szCs w:val="18"/>
              </w:rPr>
            </w:pPr>
            <w:r>
              <w:t xml:space="preserve">Rishikojnë dhe kuptojnë konceptet themelore të hetimit të krimit kibernetik dhe rolet e autoriteteve të përfshira</w:t>
            </w:r>
          </w:p>
          <w:p w14:paraId="7CD3F5C7" w14:textId="5AB40F70" w:rsidR="00C03A1E" w:rsidRPr="00C03A1E" w:rsidRDefault="00C03A1E" w:rsidP="00C03A1E">
            <w:pPr>
              <w:pStyle w:val="bul1"/>
              <w:spacing w:before="120" w:after="120" w:line="280" w:lineRule="exact"/>
              <w:ind w:left="697" w:hanging="360"/>
              <w:rPr>
                <w:szCs w:val="18"/>
              </w:rPr>
            </w:pPr>
            <w:r>
              <w:t xml:space="preserve">Mësojnë rreth disa përvojave ndërkombëtare në lidhje me organizimin e autoriteteve të specializuara dhe hetimin e krimit kibernetik</w:t>
            </w:r>
          </w:p>
          <w:p w14:paraId="61ABEAC5" w14:textId="02592FDC" w:rsidR="0051122C" w:rsidRPr="00C03A1E" w:rsidRDefault="00C03A1E" w:rsidP="00C03A1E">
            <w:pPr>
              <w:pStyle w:val="bul1"/>
              <w:spacing w:before="120" w:after="120" w:line="280" w:lineRule="exact"/>
              <w:ind w:left="697" w:hanging="360"/>
              <w:rPr>
                <w:szCs w:val="18"/>
              </w:rPr>
            </w:pPr>
            <w:r>
              <w:t xml:space="preserve">Mësojnë në lidhje me përvojat e brendshme në këtë drejtim</w:t>
            </w:r>
          </w:p>
        </w:tc>
      </w:tr>
      <w:tr w:rsidR="003406F3" w:rsidRPr="003406F3" w14:paraId="03110757" w14:textId="77777777" w:rsidTr="00B569A5">
        <w:trPr>
          <w:trHeight w:val="1475"/>
        </w:trPr>
        <w:tc>
          <w:tcPr>
            <w:tcW w:w="9010" w:type="dxa"/>
            <w:gridSpan w:val="3"/>
            <w:tcBorders>
              <w:bottom w:val="single" w:sz="4" w:space="0" w:color="auto"/>
            </w:tcBorders>
            <w:vAlign w:val="center"/>
          </w:tcPr>
          <w:p w14:paraId="7A064E85" w14:textId="3F0CE4F6" w:rsidR="005703B7" w:rsidRPr="003406F3" w:rsidRDefault="00E95703" w:rsidP="00F62A15">
            <w:pPr>
              <w:spacing w:before="120" w:after="120" w:line="280" w:lineRule="exact"/>
              <w:rPr>
                <w:b/>
                <w:sz w:val="22"/>
                <w:szCs w:val="22"/>
                <w:rFonts w:ascii="Verdana" w:hAnsi="Verdana"/>
              </w:rPr>
            </w:pPr>
            <w:r>
              <w:rPr>
                <w:b/>
                <w:sz w:val="22"/>
                <w:rFonts w:ascii="Verdana" w:hAnsi="Verdana"/>
              </w:rPr>
              <w:t xml:space="preserve">Udhëzimi për trajnerë</w:t>
            </w:r>
          </w:p>
          <w:p w14:paraId="5EFF4BEF" w14:textId="235E28A6" w:rsidR="007B75A9" w:rsidRPr="003406F3" w:rsidRDefault="00B569A5" w:rsidP="0094072C">
            <w:pPr>
              <w:spacing w:before="120" w:after="120" w:line="280" w:lineRule="exact"/>
              <w:jc w:val="both"/>
              <w:rPr>
                <w:sz w:val="18"/>
                <w:szCs w:val="18"/>
                <w:rFonts w:ascii="Verdana" w:hAnsi="Verdana"/>
              </w:rPr>
            </w:pPr>
            <w:r>
              <w:rPr>
                <w:sz w:val="18"/>
                <w:rFonts w:ascii="Verdana" w:hAnsi="Verdana"/>
              </w:rPr>
              <w:t xml:space="preserve">Kjo seancë është përgatitur për t'u siguruar pjesëmarrësve një kuptim gjithëpërfshirës të mekanizmave të hetimit të krimit kibernetik.</w:t>
            </w:r>
            <w:r>
              <w:rPr>
                <w:sz w:val="18"/>
                <w:rFonts w:ascii="Verdana" w:hAnsi="Verdana"/>
              </w:rPr>
              <w:t xml:space="preserve"> </w:t>
            </w:r>
            <w:r>
              <w:rPr>
                <w:sz w:val="18"/>
                <w:rFonts w:ascii="Verdana" w:hAnsi="Verdana"/>
              </w:rPr>
              <w:t xml:space="preserve">Kjo seancë është e ndarë në katër pjesë, përveç një hyrjeje dhe një përfundimi.</w:t>
            </w:r>
            <w:r>
              <w:rPr>
                <w:sz w:val="18"/>
                <w:rFonts w:ascii="Verdana" w:hAnsi="Verdana"/>
              </w:rPr>
              <w:t xml:space="preserve"> </w:t>
            </w:r>
            <w:r>
              <w:rPr>
                <w:sz w:val="18"/>
                <w:rFonts w:ascii="Verdana" w:hAnsi="Verdana"/>
              </w:rPr>
              <w:t xml:space="preserve">Pjesa e parë përfshin autoritetet kompetente të krimit kibernetik.</w:t>
            </w:r>
            <w:r>
              <w:rPr>
                <w:sz w:val="18"/>
                <w:rFonts w:ascii="Verdana" w:hAnsi="Verdana"/>
              </w:rPr>
              <w:t xml:space="preserve"> </w:t>
            </w:r>
            <w:r>
              <w:rPr>
                <w:sz w:val="18"/>
                <w:rFonts w:ascii="Verdana" w:hAnsi="Verdana"/>
              </w:rPr>
              <w:t xml:space="preserve">Pjesa e dytë përfshin konceptet themelore të hetimit të krimit kibernetik.</w:t>
            </w:r>
            <w:r>
              <w:rPr>
                <w:sz w:val="18"/>
                <w:rFonts w:ascii="Verdana" w:hAnsi="Verdana"/>
              </w:rPr>
              <w:t xml:space="preserve"> </w:t>
            </w:r>
            <w:r>
              <w:rPr>
                <w:sz w:val="18"/>
                <w:rFonts w:ascii="Verdana" w:hAnsi="Verdana"/>
              </w:rPr>
              <w:t xml:space="preserve">Pjesa e tretë ofron informacion në lidhje me disa përvoja ndërkombëtare në këtë drejtim.</w:t>
            </w:r>
            <w:r>
              <w:rPr>
                <w:sz w:val="18"/>
                <w:rFonts w:ascii="Verdana" w:hAnsi="Verdana"/>
              </w:rPr>
              <w:t xml:space="preserve"> </w:t>
            </w:r>
            <w:r>
              <w:rPr>
                <w:sz w:val="18"/>
                <w:rFonts w:ascii="Verdana" w:hAnsi="Verdana"/>
              </w:rPr>
              <w:t xml:space="preserve">Pjesa e katërt ofron informacion në lidhje me organizimin dhe përvojën e brendshme.</w:t>
            </w:r>
          </w:p>
        </w:tc>
      </w:tr>
      <w:tr w:rsidR="003406F3" w:rsidRPr="003406F3"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3406F3" w:rsidRDefault="005A4E47" w:rsidP="00CB3026">
            <w:pPr>
              <w:rPr>
                <w:b/>
                <w:sz w:val="28"/>
                <w:szCs w:val="28"/>
                <w:rFonts w:ascii="Verdana" w:hAnsi="Verdana"/>
              </w:rPr>
            </w:pPr>
            <w:r>
              <w:rPr>
                <w:b/>
                <w:sz w:val="28"/>
                <w:rFonts w:ascii="Verdana" w:hAnsi="Verdana"/>
              </w:rPr>
              <w:t xml:space="preserve">Përmbajtja e Mësimit</w:t>
            </w:r>
          </w:p>
        </w:tc>
      </w:tr>
      <w:tr w:rsidR="003406F3" w:rsidRPr="003406F3" w14:paraId="57CC7AA4" w14:textId="77777777" w:rsidTr="00CB3026">
        <w:trPr>
          <w:trHeight w:val="629"/>
        </w:trPr>
        <w:tc>
          <w:tcPr>
            <w:tcW w:w="1615" w:type="dxa"/>
            <w:shd w:val="clear" w:color="auto" w:fill="D9E2F3" w:themeFill="accent1" w:themeFillTint="33"/>
            <w:vAlign w:val="center"/>
          </w:tcPr>
          <w:p w14:paraId="4538C338" w14:textId="77777777" w:rsidR="00D82C18" w:rsidRPr="003406F3" w:rsidRDefault="00E13BE7" w:rsidP="00CB3026">
            <w:pPr>
              <w:jc w:val="center"/>
              <w:rPr>
                <w:b/>
                <w:sz w:val="22"/>
                <w:szCs w:val="22"/>
                <w:rFonts w:ascii="Verdana" w:hAnsi="Verdana"/>
              </w:rPr>
            </w:pPr>
            <w:r>
              <w:rPr>
                <w:b/>
                <w:sz w:val="22"/>
                <w:rFonts w:ascii="Verdana" w:hAnsi="Verdana"/>
              </w:rPr>
              <w:t xml:space="preserve">Numrat e slajdeve</w:t>
            </w:r>
          </w:p>
        </w:tc>
        <w:tc>
          <w:tcPr>
            <w:tcW w:w="7395" w:type="dxa"/>
            <w:gridSpan w:val="2"/>
            <w:shd w:val="clear" w:color="auto" w:fill="D9E2F3" w:themeFill="accent1" w:themeFillTint="33"/>
            <w:vAlign w:val="center"/>
          </w:tcPr>
          <w:p w14:paraId="2DA616FC" w14:textId="77777777" w:rsidR="00D82C18" w:rsidRPr="003406F3" w:rsidRDefault="00E13BE7">
            <w:pPr>
              <w:rPr>
                <w:b/>
                <w:sz w:val="22"/>
                <w:szCs w:val="22"/>
                <w:rFonts w:ascii="Verdana" w:hAnsi="Verdana"/>
              </w:rPr>
            </w:pPr>
            <w:r>
              <w:rPr>
                <w:b/>
                <w:sz w:val="22"/>
                <w:rFonts w:ascii="Verdana" w:hAnsi="Verdana"/>
              </w:rPr>
              <w:t xml:space="preserve">Përmbajtja</w:t>
            </w:r>
          </w:p>
        </w:tc>
      </w:tr>
      <w:tr w:rsidR="003406F3" w:rsidRPr="003406F3" w14:paraId="11A12D7E" w14:textId="77777777" w:rsidTr="00DB09DC">
        <w:trPr>
          <w:trHeight w:val="530"/>
        </w:trPr>
        <w:tc>
          <w:tcPr>
            <w:tcW w:w="1615" w:type="dxa"/>
            <w:vAlign w:val="center"/>
          </w:tcPr>
          <w:p w14:paraId="5A89CF27" w14:textId="2FC41B30" w:rsidR="00D82C18" w:rsidRPr="003406F3" w:rsidRDefault="003630ED" w:rsidP="00DB09DC">
            <w:pPr>
              <w:spacing w:before="120" w:after="120" w:line="280" w:lineRule="exact"/>
              <w:jc w:val="center"/>
              <w:rPr>
                <w:sz w:val="18"/>
                <w:szCs w:val="18"/>
                <w:rFonts w:ascii="Verdana" w:hAnsi="Verdana"/>
              </w:rPr>
            </w:pPr>
            <w:r>
              <w:rPr>
                <w:sz w:val="18"/>
                <w:rFonts w:ascii="Verdana" w:hAnsi="Verdana"/>
              </w:rPr>
              <w:t xml:space="preserve">1 deri 3</w:t>
            </w:r>
          </w:p>
        </w:tc>
        <w:tc>
          <w:tcPr>
            <w:tcW w:w="7395" w:type="dxa"/>
            <w:gridSpan w:val="2"/>
            <w:vAlign w:val="center"/>
          </w:tcPr>
          <w:p w14:paraId="36345B59" w14:textId="281A5A31" w:rsidR="003630ED" w:rsidRPr="003406F3" w:rsidRDefault="00DB09DC" w:rsidP="00AF62EC">
            <w:pPr>
              <w:tabs>
                <w:tab w:val="left" w:pos="426"/>
                <w:tab w:val="left" w:pos="851"/>
              </w:tabs>
              <w:spacing w:before="120" w:after="120" w:line="280" w:lineRule="exact"/>
              <w:jc w:val="both"/>
              <w:rPr>
                <w:sz w:val="18"/>
                <w:szCs w:val="18"/>
                <w:rFonts w:ascii="Verdana" w:hAnsi="Verdana"/>
              </w:rPr>
            </w:pPr>
            <w:r>
              <w:rPr>
                <w:sz w:val="18"/>
                <w:rFonts w:ascii="Verdana" w:hAnsi="Verdana"/>
              </w:rPr>
              <w:t xml:space="preserve">Slajdet e para paraqesin strukturën dhe objektivat e kësaj seance.</w:t>
            </w:r>
            <w:r>
              <w:rPr>
                <w:sz w:val="18"/>
                <w:rFonts w:ascii="Verdana" w:hAnsi="Verdana"/>
              </w:rPr>
              <w:t xml:space="preserve"> </w:t>
            </w:r>
            <w:r>
              <w:rPr>
                <w:sz w:val="18"/>
                <w:rFonts w:ascii="Verdana" w:hAnsi="Verdana"/>
              </w:rPr>
              <w:t xml:space="preserve">Pjesëmarrësve do t'u jepet një mundësi për të bërë ndonjë pyetje paraprake që ata mund të kenë në lidhje me strukturën dhe objektivat e seancës.</w:t>
            </w:r>
          </w:p>
        </w:tc>
      </w:tr>
      <w:tr w:rsidR="003406F3" w:rsidRPr="003406F3" w14:paraId="65F07CB5" w14:textId="77777777" w:rsidTr="00C9640B">
        <w:trPr>
          <w:trHeight w:val="1876"/>
        </w:trPr>
        <w:tc>
          <w:tcPr>
            <w:tcW w:w="1615" w:type="dxa"/>
            <w:vAlign w:val="center"/>
          </w:tcPr>
          <w:p w14:paraId="6F5AEB2D" w14:textId="2D3AEC45" w:rsidR="00D82C18" w:rsidRPr="003406F3" w:rsidRDefault="00DB09DC" w:rsidP="00A00A58">
            <w:pPr>
              <w:jc w:val="center"/>
              <w:rPr>
                <w:sz w:val="18"/>
                <w:szCs w:val="18"/>
                <w:rFonts w:ascii="Verdana" w:hAnsi="Verdana"/>
              </w:rPr>
            </w:pPr>
            <w:r>
              <w:rPr>
                <w:sz w:val="18"/>
                <w:rFonts w:ascii="Verdana" w:hAnsi="Verdana"/>
              </w:rPr>
              <w:t xml:space="preserve">4 deri 11</w:t>
            </w:r>
          </w:p>
        </w:tc>
        <w:tc>
          <w:tcPr>
            <w:tcW w:w="7395" w:type="dxa"/>
            <w:gridSpan w:val="2"/>
            <w:vAlign w:val="center"/>
          </w:tcPr>
          <w:p w14:paraId="0891A399" w14:textId="77777777" w:rsidR="00F53802" w:rsidRDefault="00CF0C7C" w:rsidP="00F53802">
            <w:pPr>
              <w:pStyle w:val="Subtitle"/>
              <w:spacing w:before="120" w:line="260" w:lineRule="exact"/>
              <w:rPr>
                <w:szCs w:val="18"/>
                <w:rFonts w:ascii="Verdana" w:hAnsi="Verdana"/>
              </w:rPr>
            </w:pPr>
            <w:r>
              <w:rPr>
                <w:rFonts w:ascii="Verdana" w:hAnsi="Verdana"/>
              </w:rPr>
              <w:t xml:space="preserve">Këto slajde synojnë t'u ofrojnë pjesëmarrësve informacion në lidhje me idenë e autoriteteve të specializuara të krimit kibernetik, kompetencat e tyre, strukturat dhe mënyrën se si duhet të funksionojë.</w:t>
            </w:r>
            <w:r>
              <w:rPr>
                <w:rFonts w:ascii="Verdana" w:hAnsi="Verdana"/>
              </w:rPr>
              <w:t xml:space="preserve"> </w:t>
            </w:r>
          </w:p>
          <w:p w14:paraId="2E808FB2" w14:textId="15156474" w:rsidR="00F53802" w:rsidRPr="00F53802" w:rsidRDefault="00F53802" w:rsidP="00F53802">
            <w:pPr>
              <w:pStyle w:val="Subtitle"/>
              <w:spacing w:before="120" w:line="260" w:lineRule="exact"/>
              <w:rPr>
                <w:szCs w:val="18"/>
                <w:rFonts w:ascii="Verdana" w:hAnsi="Verdana"/>
              </w:rPr>
            </w:pPr>
            <w:r>
              <w:rPr>
                <w:rFonts w:ascii="Verdana" w:hAnsi="Verdana"/>
              </w:rPr>
              <w:t xml:space="preserve">Në një numër në rritje të vendeve, këto autoritete po organizohen ose planifikohen të futen në sistemin e shtypjes së krimit.</w:t>
            </w:r>
          </w:p>
          <w:p w14:paraId="649FEA68" w14:textId="166A55C1" w:rsidR="00F53802" w:rsidRPr="00F53802" w:rsidRDefault="00F53802" w:rsidP="00F53802">
            <w:pPr>
              <w:spacing w:before="120" w:after="120" w:line="260" w:lineRule="exact"/>
              <w:jc w:val="both"/>
              <w:rPr>
                <w:sz w:val="18"/>
                <w:szCs w:val="18"/>
                <w:rFonts w:ascii="Verdana" w:hAnsi="Verdana"/>
              </w:rPr>
            </w:pPr>
            <w:r>
              <w:rPr>
                <w:sz w:val="18"/>
                <w:rFonts w:ascii="Verdana" w:hAnsi="Verdana"/>
              </w:rPr>
              <w:t xml:space="preserve">Slajdet do të rendisin numrin e pyetjeve në lidhje me AZL-të, prokurorinë, gjykatën dhe autoritetet tjera të përfshira në rastet e krimit kibernetik dhe eksperti me pjesëmarrësit duhet të angazhohet në mënyrë aktive në ofrimin e përgjigjeve.</w:t>
            </w:r>
          </w:p>
        </w:tc>
      </w:tr>
      <w:tr w:rsidR="003406F3" w:rsidRPr="003406F3" w14:paraId="3236CF7B" w14:textId="77777777" w:rsidTr="001B428D">
        <w:trPr>
          <w:trHeight w:val="2015"/>
        </w:trPr>
        <w:tc>
          <w:tcPr>
            <w:tcW w:w="1615" w:type="dxa"/>
            <w:vAlign w:val="center"/>
          </w:tcPr>
          <w:p w14:paraId="63F93ACC" w14:textId="73CCAA66" w:rsidR="00A00A58" w:rsidRPr="003406F3" w:rsidRDefault="00357C78" w:rsidP="00A00A58">
            <w:pPr>
              <w:jc w:val="center"/>
              <w:rPr>
                <w:sz w:val="18"/>
                <w:szCs w:val="18"/>
                <w:rFonts w:ascii="Verdana" w:hAnsi="Verdana"/>
              </w:rPr>
            </w:pPr>
            <w:r>
              <w:rPr>
                <w:sz w:val="18"/>
                <w:rFonts w:ascii="Verdana" w:hAnsi="Verdana"/>
              </w:rPr>
              <w:t xml:space="preserve">12 deri 20</w:t>
            </w:r>
          </w:p>
        </w:tc>
        <w:tc>
          <w:tcPr>
            <w:tcW w:w="7395" w:type="dxa"/>
            <w:gridSpan w:val="2"/>
            <w:vAlign w:val="center"/>
          </w:tcPr>
          <w:p w14:paraId="48C7FE95" w14:textId="380594A2" w:rsidR="00F53802" w:rsidRPr="00F53802" w:rsidRDefault="00357C78" w:rsidP="00F53802">
            <w:pPr>
              <w:spacing w:before="120" w:after="120" w:line="280" w:lineRule="exact"/>
              <w:jc w:val="both"/>
              <w:rPr>
                <w:sz w:val="18"/>
                <w:szCs w:val="18"/>
                <w:rFonts w:ascii="Verdana" w:hAnsi="Verdana"/>
              </w:rPr>
            </w:pPr>
            <w:r>
              <w:rPr>
                <w:sz w:val="18"/>
                <w:rFonts w:ascii="Verdana" w:hAnsi="Verdana"/>
              </w:rPr>
              <w:t xml:space="preserve">Këto slajde do të paraqesin "rregulla" në lidhje me konceptet e hetimit të krimit kibernetik.</w:t>
            </w:r>
            <w:r>
              <w:rPr>
                <w:sz w:val="18"/>
                <w:rFonts w:ascii="Verdana" w:hAnsi="Verdana"/>
              </w:rPr>
              <w:t xml:space="preserve"> </w:t>
            </w:r>
            <w:r>
              <w:rPr>
                <w:sz w:val="18"/>
                <w:rFonts w:ascii="Verdana" w:hAnsi="Verdana"/>
              </w:rPr>
              <w:t xml:space="preserve">Rregullat nuk janë zyrtare, por më shumë janë rezultat i përvojës së praktikuesit nga hetimet e krimit kibernetik.</w:t>
            </w:r>
          </w:p>
          <w:p w14:paraId="3B7E84AD" w14:textId="152D8FDC" w:rsidR="00F53802" w:rsidRPr="00F53802" w:rsidRDefault="00F53802" w:rsidP="00F53802">
            <w:pPr>
              <w:spacing w:before="120" w:after="120" w:line="280" w:lineRule="exact"/>
              <w:jc w:val="both"/>
              <w:rPr>
                <w:sz w:val="18"/>
                <w:szCs w:val="18"/>
                <w:rFonts w:ascii="Verdana" w:hAnsi="Verdana"/>
              </w:rPr>
            </w:pPr>
            <w:r>
              <w:rPr>
                <w:sz w:val="18"/>
                <w:rFonts w:ascii="Verdana" w:hAnsi="Verdana"/>
              </w:rPr>
              <w:t xml:space="preserve">Sidoqoftë, mund të duket se disa nga "rregullat" janë të qarta dhe përshkruajnë procedurën ekzistuese, nuk është edhe aq e thjeshtë.</w:t>
            </w:r>
            <w:r>
              <w:rPr>
                <w:sz w:val="18"/>
                <w:rFonts w:ascii="Verdana" w:hAnsi="Verdana"/>
              </w:rPr>
              <w:t xml:space="preserve"> </w:t>
            </w:r>
            <w:r>
              <w:rPr>
                <w:sz w:val="18"/>
                <w:rFonts w:ascii="Verdana" w:hAnsi="Verdana"/>
              </w:rPr>
              <w:t xml:space="preserve">Gjegjësisht, në numrin e vendeve megjithëse ekziston korniza ligjore, në marrëveshje të nivelit të përgjithshëm të nivelit më të ulët, të cilat duhet të përcaktojnë më saktësisht procedurat për bashkëpunimi në vetvete nuk ekziston.</w:t>
            </w:r>
          </w:p>
          <w:p w14:paraId="47ECDBD0" w14:textId="77777777" w:rsidR="009A46F5" w:rsidRDefault="00F53802" w:rsidP="009A46F5">
            <w:pPr>
              <w:spacing w:before="120" w:after="120" w:line="280" w:lineRule="exact"/>
              <w:jc w:val="both"/>
              <w:rPr>
                <w:sz w:val="18"/>
                <w:szCs w:val="18"/>
                <w:rFonts w:ascii="Verdana" w:hAnsi="Verdana"/>
              </w:rPr>
            </w:pPr>
            <w:r>
              <w:rPr>
                <w:sz w:val="18"/>
                <w:rFonts w:ascii="Verdana" w:hAnsi="Verdana"/>
              </w:rPr>
              <w:t xml:space="preserve">Shpesh autoritetet qëndrojnë brenda linjave të juridiksionit të tyre dhe ato nuk komunikojnë direkt ose shpejt me të tjerët.</w:t>
            </w:r>
            <w:r>
              <w:rPr>
                <w:sz w:val="18"/>
                <w:rFonts w:ascii="Verdana" w:hAnsi="Verdana"/>
              </w:rPr>
              <w:t xml:space="preserve"> </w:t>
            </w:r>
            <w:r>
              <w:rPr>
                <w:sz w:val="18"/>
                <w:rFonts w:ascii="Verdana" w:hAnsi="Verdana"/>
              </w:rPr>
              <w:t xml:space="preserve">Ai lloj sjelljeje çon drejt komunikimit të ngadaltë dhe shkëmbimit të provave dhe fakteve dhe humbjes së mundshme të materialit dëshmues.</w:t>
            </w:r>
          </w:p>
          <w:p w14:paraId="6B518A62" w14:textId="5427ECD7" w:rsidR="00F53802" w:rsidRPr="00F53802" w:rsidRDefault="00F53802" w:rsidP="009A46F5">
            <w:pPr>
              <w:spacing w:before="120" w:after="120" w:line="280" w:lineRule="exact"/>
              <w:jc w:val="both"/>
              <w:rPr>
                <w:sz w:val="18"/>
                <w:szCs w:val="18"/>
                <w:rFonts w:ascii="Verdana" w:hAnsi="Verdana"/>
              </w:rPr>
            </w:pPr>
            <w:r>
              <w:rPr>
                <w:sz w:val="18"/>
                <w:rFonts w:ascii="Verdana" w:hAnsi="Verdana"/>
              </w:rPr>
              <w:t xml:space="preserve">Gjithashtu slajdet do të paraqesin listën themelore të veprimeve që Zbatimi i Ligjit do dhe duhet të ndërmarrë gjatë zhvillimit të hetimit të krimit kibernetik, ato që duhet të ndërmerren nga prokuroria publike (pavarësisht nga sistemi, prokuroria publike përfaqëson një autoritet me të përfshirë në një mënyrë ose një tjetër me të gjithë pjesëmarrësit e lëndëve penale, nga AZL në gjykata), roli i gjyqtarëve dhe gjykatave, ndryshimet ndërmjet sistemit të së drejtës zakonore dhe ligjit civil, dhe roli i autoriteteve tjera në hetimin e krimit kibernetik.</w:t>
            </w:r>
          </w:p>
        </w:tc>
      </w:tr>
      <w:tr w:rsidR="003406F3" w:rsidRPr="003406F3" w14:paraId="5AA3C4AD" w14:textId="77777777" w:rsidTr="00CB3026">
        <w:trPr>
          <w:trHeight w:val="3158"/>
        </w:trPr>
        <w:tc>
          <w:tcPr>
            <w:tcW w:w="1615" w:type="dxa"/>
            <w:vAlign w:val="center"/>
          </w:tcPr>
          <w:p w14:paraId="07F9F799" w14:textId="42D6DE01" w:rsidR="00A00A58" w:rsidRPr="003406F3" w:rsidRDefault="00DB09DC" w:rsidP="00A45C00">
            <w:pPr>
              <w:jc w:val="center"/>
              <w:rPr>
                <w:sz w:val="18"/>
                <w:szCs w:val="18"/>
                <w:rFonts w:ascii="Verdana" w:hAnsi="Verdana"/>
              </w:rPr>
            </w:pPr>
            <w:r>
              <w:rPr>
                <w:sz w:val="18"/>
                <w:rFonts w:ascii="Verdana" w:hAnsi="Verdana"/>
              </w:rPr>
              <w:t xml:space="preserve">21 deri 28</w:t>
            </w:r>
          </w:p>
        </w:tc>
        <w:tc>
          <w:tcPr>
            <w:tcW w:w="7395" w:type="dxa"/>
            <w:gridSpan w:val="2"/>
            <w:vAlign w:val="center"/>
          </w:tcPr>
          <w:p w14:paraId="5BE7702D" w14:textId="77777777" w:rsidR="00F53802" w:rsidRPr="00F53802" w:rsidRDefault="00DB09DC" w:rsidP="00F53802">
            <w:pPr>
              <w:pStyle w:val="Subtitle"/>
              <w:spacing w:beforeLines="20" w:before="48" w:afterLines="120" w:after="288" w:line="280" w:lineRule="exact"/>
              <w:rPr>
                <w:szCs w:val="18"/>
                <w:rFonts w:ascii="Verdana" w:hAnsi="Verdana"/>
              </w:rPr>
            </w:pPr>
            <w:r>
              <w:rPr>
                <w:color w:val="auto"/>
                <w:rFonts w:ascii="Verdana" w:hAnsi="Verdana"/>
              </w:rPr>
              <w:t xml:space="preserve">Këto slajde </w:t>
            </w:r>
            <w:r>
              <w:rPr>
                <w:rFonts w:ascii="Verdana" w:hAnsi="Verdana"/>
              </w:rPr>
              <w:t xml:space="preserve">përfaqësojnë një nga përvojat më të suksesshme ndërkombëtare në shtypjen e krimit kibernetik.</w:t>
            </w:r>
            <w:r>
              <w:rPr>
                <w:rFonts w:ascii="Verdana" w:hAnsi="Verdana"/>
              </w:rPr>
              <w:t xml:space="preserve"> </w:t>
            </w:r>
          </w:p>
          <w:p w14:paraId="58C764BC" w14:textId="77777777" w:rsidR="00F53802" w:rsidRPr="00F53802" w:rsidRDefault="00F53802" w:rsidP="00F53802">
            <w:pPr>
              <w:pStyle w:val="Subtitle"/>
              <w:spacing w:beforeLines="20" w:before="48" w:afterLines="120" w:after="288" w:line="280" w:lineRule="exact"/>
              <w:rPr>
                <w:szCs w:val="18"/>
                <w:rFonts w:ascii="Verdana" w:eastAsia="Times New Roman" w:hAnsi="Verdana"/>
              </w:rPr>
            </w:pPr>
            <w:r>
              <w:rPr>
                <w:rFonts w:ascii="Verdana" w:hAnsi="Verdana"/>
              </w:rPr>
              <w:t xml:space="preserve">Republika e Serbisë nga viti 2005 ka zhvilluar kornizën ligjore për luftimin e krimit kibernetik, e cila përfshinte ligje thelbësore, procedurale dhe organizative.</w:t>
            </w:r>
            <w:r>
              <w:rPr>
                <w:rFonts w:ascii="Verdana" w:hAnsi="Verdana"/>
              </w:rPr>
              <w:t xml:space="preserve"> </w:t>
            </w:r>
            <w:r>
              <w:rPr>
                <w:rFonts w:ascii="Verdana" w:hAnsi="Verdana"/>
              </w:rPr>
              <w:t xml:space="preserve">Nga viti 2005 Serbia është një nga vendet e rralla që ka autoritete shumë të specializuara në këtë fushë, duke përfshirë policinë, prokurorinë dhe gjykatën.</w:t>
            </w:r>
          </w:p>
          <w:p w14:paraId="1B9C6A39" w14:textId="4F56F04B" w:rsidR="003406F3" w:rsidRPr="00F53802" w:rsidRDefault="00F53802" w:rsidP="00F53802">
            <w:pPr>
              <w:pStyle w:val="Subtitle"/>
              <w:spacing w:beforeLines="20" w:before="48" w:afterLines="120" w:after="288" w:line="280" w:lineRule="exact"/>
              <w:rPr>
                <w:szCs w:val="18"/>
                <w:rFonts w:ascii="Verdana" w:eastAsia="Times New Roman" w:hAnsi="Verdana"/>
              </w:rPr>
            </w:pPr>
            <w:r>
              <w:rPr>
                <w:rFonts w:ascii="Verdana" w:hAnsi="Verdana"/>
              </w:rPr>
              <w:t xml:space="preserve">Sidoqoftë, në përputhje me nevojat, eksperti mund të gjejë dhe paraqesë shembuj shtesë.</w:t>
            </w:r>
          </w:p>
        </w:tc>
      </w:tr>
      <w:tr w:rsidR="00DB09DC" w:rsidRPr="003406F3" w14:paraId="29253992" w14:textId="77777777" w:rsidTr="008D7196">
        <w:trPr>
          <w:trHeight w:val="476"/>
        </w:trPr>
        <w:tc>
          <w:tcPr>
            <w:tcW w:w="1615" w:type="dxa"/>
            <w:vAlign w:val="center"/>
          </w:tcPr>
          <w:p w14:paraId="7CB27A05" w14:textId="30123F6C" w:rsidR="00DB09DC" w:rsidRDefault="00F53802" w:rsidP="00A45C00">
            <w:pPr>
              <w:jc w:val="center"/>
              <w:rPr>
                <w:sz w:val="18"/>
                <w:szCs w:val="18"/>
                <w:rFonts w:ascii="Verdana" w:hAnsi="Verdana"/>
              </w:rPr>
            </w:pPr>
            <w:r>
              <w:rPr>
                <w:sz w:val="18"/>
                <w:rFonts w:ascii="Verdana" w:hAnsi="Verdana"/>
              </w:rPr>
              <w:t xml:space="preserve">29 deri 31+</w:t>
            </w:r>
          </w:p>
        </w:tc>
        <w:tc>
          <w:tcPr>
            <w:tcW w:w="7395" w:type="dxa"/>
            <w:gridSpan w:val="2"/>
            <w:vAlign w:val="center"/>
          </w:tcPr>
          <w:p w14:paraId="660000A2" w14:textId="6A792431" w:rsidR="00DB09DC" w:rsidRPr="008D7196" w:rsidRDefault="00F53802" w:rsidP="008D7196">
            <w:pPr>
              <w:pStyle w:val="Subtitle"/>
              <w:spacing w:beforeLines="20" w:before="48" w:afterLines="120" w:after="288" w:line="280" w:lineRule="exact"/>
              <w:rPr>
                <w:color w:val="auto"/>
                <w:szCs w:val="18"/>
                <w:rFonts w:ascii="Verdana" w:eastAsia="Times New Roman" w:hAnsi="Verdana"/>
              </w:rPr>
            </w:pPr>
            <w:r>
              <w:rPr>
                <w:color w:val="auto"/>
                <w:rFonts w:ascii="Verdana" w:hAnsi="Verdana"/>
              </w:rPr>
              <w:t xml:space="preserve">Këto slajde duhet të paraqesin shembuj lokalë</w:t>
            </w:r>
          </w:p>
        </w:tc>
      </w:tr>
      <w:tr w:rsidR="003406F3" w:rsidRPr="003406F3" w14:paraId="07D9F9A7" w14:textId="77777777" w:rsidTr="00FC677E">
        <w:trPr>
          <w:trHeight w:val="1340"/>
        </w:trPr>
        <w:tc>
          <w:tcPr>
            <w:tcW w:w="1615" w:type="dxa"/>
            <w:vAlign w:val="center"/>
          </w:tcPr>
          <w:p w14:paraId="0F0112E8" w14:textId="07B86B62" w:rsidR="00A00A58" w:rsidRPr="003406F3" w:rsidRDefault="008D7196" w:rsidP="00BB0093">
            <w:pPr>
              <w:jc w:val="center"/>
              <w:rPr>
                <w:sz w:val="18"/>
                <w:szCs w:val="18"/>
                <w:rFonts w:ascii="Verdana" w:hAnsi="Verdana"/>
              </w:rPr>
            </w:pPr>
            <w:r>
              <w:rPr>
                <w:sz w:val="18"/>
                <w:rFonts w:ascii="Verdana" w:hAnsi="Verdana"/>
              </w:rPr>
              <w:t xml:space="preserve">31 deri 34+</w:t>
            </w:r>
          </w:p>
        </w:tc>
        <w:tc>
          <w:tcPr>
            <w:tcW w:w="7395" w:type="dxa"/>
            <w:gridSpan w:val="2"/>
            <w:vAlign w:val="center"/>
          </w:tcPr>
          <w:p w14:paraId="373F061B" w14:textId="67C52077" w:rsidR="00A00A58" w:rsidRPr="003406F3" w:rsidRDefault="00FC677E" w:rsidP="00B468A3">
            <w:pPr>
              <w:spacing w:before="120" w:after="120" w:line="280" w:lineRule="exact"/>
              <w:jc w:val="both"/>
              <w:rPr>
                <w:i/>
                <w:sz w:val="18"/>
                <w:szCs w:val="18"/>
                <w:rFonts w:ascii="Verdana" w:hAnsi="Verdana"/>
              </w:rPr>
            </w:pPr>
            <w:r>
              <w:rPr>
                <w:sz w:val="18"/>
                <w:rFonts w:ascii="Verdana" w:hAnsi="Verdana"/>
              </w:rPr>
              <w:t xml:space="preserve">Trajneri duhet të rishikojë objektivat e seancës me pjesëmarrësit dhe t'u japë atyre mundësinë për të bërë ndonjë pyetje në lidhje me materialet e përfshira në këtë modul.</w:t>
            </w:r>
          </w:p>
        </w:tc>
      </w:tr>
      <w:tr w:rsidR="003406F3" w:rsidRPr="003406F3" w14:paraId="2ECF09B7" w14:textId="77777777" w:rsidTr="00CB3026">
        <w:trPr>
          <w:trHeight w:val="1412"/>
        </w:trPr>
        <w:tc>
          <w:tcPr>
            <w:tcW w:w="9010" w:type="dxa"/>
            <w:gridSpan w:val="3"/>
            <w:vAlign w:val="center"/>
          </w:tcPr>
          <w:p w14:paraId="55ED1F4B" w14:textId="77777777" w:rsidR="00CB3026" w:rsidRPr="003406F3" w:rsidRDefault="00CB3026" w:rsidP="00CB3026">
            <w:pPr>
              <w:spacing w:before="120" w:after="120" w:line="280" w:lineRule="exact"/>
              <w:rPr>
                <w:b/>
                <w:sz w:val="22"/>
                <w:szCs w:val="22"/>
                <w:rFonts w:ascii="Verdana" w:hAnsi="Verdana"/>
              </w:rPr>
            </w:pPr>
            <w:r>
              <w:rPr>
                <w:b/>
                <w:sz w:val="22"/>
                <w:rFonts w:ascii="Verdana" w:hAnsi="Verdana"/>
              </w:rPr>
              <w:t xml:space="preserve">Ushtrime praktike</w:t>
            </w:r>
          </w:p>
          <w:p w14:paraId="04D65D89" w14:textId="6D5C4DD0" w:rsidR="00CB3026" w:rsidRPr="003406F3" w:rsidRDefault="00CB3026" w:rsidP="004639E3">
            <w:pPr>
              <w:spacing w:before="120" w:after="120" w:line="280" w:lineRule="exact"/>
              <w:rPr>
                <w:sz w:val="18"/>
                <w:szCs w:val="18"/>
                <w:rFonts w:ascii="Verdana" w:hAnsi="Verdana"/>
              </w:rPr>
            </w:pPr>
            <w:r>
              <w:rPr>
                <w:sz w:val="18"/>
                <w:rFonts w:ascii="Verdana" w:hAnsi="Verdana"/>
              </w:rPr>
              <w:t xml:space="preserve">Nuk ka ushtrime praktike të parapara me këtë mësim.</w:t>
            </w:r>
          </w:p>
        </w:tc>
      </w:tr>
      <w:tr w:rsidR="003406F3" w:rsidRPr="003406F3" w14:paraId="603967A2" w14:textId="77777777" w:rsidTr="00801300">
        <w:tc>
          <w:tcPr>
            <w:tcW w:w="9010" w:type="dxa"/>
            <w:gridSpan w:val="3"/>
            <w:vAlign w:val="center"/>
          </w:tcPr>
          <w:p w14:paraId="57B48D1E" w14:textId="77777777" w:rsidR="00CB3026" w:rsidRPr="003406F3" w:rsidRDefault="00CB3026" w:rsidP="00CB3026">
            <w:pPr>
              <w:spacing w:before="120" w:after="120" w:line="280" w:lineRule="exact"/>
              <w:rPr>
                <w:b/>
                <w:sz w:val="22"/>
                <w:szCs w:val="22"/>
                <w:rFonts w:ascii="Verdana" w:hAnsi="Verdana"/>
              </w:rPr>
            </w:pPr>
            <w:r>
              <w:rPr>
                <w:b/>
                <w:sz w:val="22"/>
                <w:rFonts w:ascii="Verdana" w:hAnsi="Verdana"/>
              </w:rPr>
              <w:t xml:space="preserve">Vlerësimi/Kontrolli i njohurive</w:t>
            </w:r>
          </w:p>
          <w:p w14:paraId="4496975B" w14:textId="71EF14F8" w:rsidR="00CB3026" w:rsidRPr="003406F3" w:rsidRDefault="00B468A3" w:rsidP="00B468A3">
            <w:pPr>
              <w:spacing w:before="120" w:after="120" w:line="280" w:lineRule="exact"/>
              <w:jc w:val="both"/>
              <w:rPr>
                <w:sz w:val="18"/>
                <w:szCs w:val="18"/>
                <w:rFonts w:ascii="Verdana" w:hAnsi="Verdana"/>
              </w:rPr>
            </w:pPr>
            <w:r>
              <w:rPr>
                <w:sz w:val="18"/>
                <w:rFonts w:ascii="Verdana" w:hAnsi="Verdana"/>
              </w:rPr>
              <w:t xml:space="preserve">Nuk është përgatitur vlerësim zyrtar për këtë seancë.</w:t>
            </w:r>
            <w:r>
              <w:rPr>
                <w:sz w:val="18"/>
                <w:rFonts w:ascii="Verdana" w:hAnsi="Verdana"/>
              </w:rPr>
              <w:t xml:space="preserve"> </w:t>
            </w:r>
            <w:r>
              <w:rPr>
                <w:sz w:val="18"/>
                <w:rFonts w:ascii="Verdana" w:hAnsi="Verdana"/>
              </w:rPr>
              <w:t xml:space="preserve">Trajneri inkurajohet të kontrollojë njohuritë dhe të kuptuarit duke bërë pyetje përkatëse gjatë gjithë seancës.</w:t>
            </w:r>
          </w:p>
        </w:tc>
      </w:tr>
    </w:tbl>
    <w:p w14:paraId="15498912" w14:textId="77777777" w:rsidR="00D82C18" w:rsidRPr="003406F3" w:rsidRDefault="00D82C18">
      <w:pPr>
        <w:rPr>
          <w:rFonts w:ascii="Verdana" w:hAnsi="Verdana"/>
        </w:rPr>
      </w:pPr>
    </w:p>
    <w:sectPr w:rsidR="00D82C18" w:rsidRPr="003406F3"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Times New Roman"/>
    <w:panose1 w:val="020B0804030504040204"/>
    <w:charset w:val="00"/>
    <w:family w:val="auto"/>
    <w:pitch w:val="variable"/>
    <w:sig w:usb0="A10006FF" w:usb1="4000205B" w:usb2="00000010" w:usb3="00000000" w:csb0="0000019F" w:csb1="00000000"/>
  </w:font>
  <w:font w:name="Helvetica">
    <w:panose1 w:val="020B0604020202020204"/>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40291E"/>
    <w:multiLevelType w:val="hybridMultilevel"/>
    <w:tmpl w:val="47723308"/>
    <w:lvl w:ilvl="0" w:tplc="1C3A5EC0">
      <w:start w:val="1"/>
      <w:numFmt w:val="bullet"/>
      <w:lvlText w:val=""/>
      <w:lvlJc w:val="left"/>
      <w:pPr>
        <w:tabs>
          <w:tab w:val="num" w:pos="720"/>
        </w:tabs>
        <w:ind w:left="720" w:hanging="360"/>
      </w:pPr>
      <w:rPr>
        <w:rFonts w:ascii="Wingdings" w:hAnsi="Wingdings" w:hint="default"/>
      </w:rPr>
    </w:lvl>
    <w:lvl w:ilvl="1" w:tplc="54084978" w:tentative="1">
      <w:start w:val="1"/>
      <w:numFmt w:val="bullet"/>
      <w:lvlText w:val=""/>
      <w:lvlJc w:val="left"/>
      <w:pPr>
        <w:tabs>
          <w:tab w:val="num" w:pos="1440"/>
        </w:tabs>
        <w:ind w:left="1440" w:hanging="360"/>
      </w:pPr>
      <w:rPr>
        <w:rFonts w:ascii="Wingdings" w:hAnsi="Wingdings" w:hint="default"/>
      </w:rPr>
    </w:lvl>
    <w:lvl w:ilvl="2" w:tplc="0A50EE44" w:tentative="1">
      <w:start w:val="1"/>
      <w:numFmt w:val="bullet"/>
      <w:lvlText w:val=""/>
      <w:lvlJc w:val="left"/>
      <w:pPr>
        <w:tabs>
          <w:tab w:val="num" w:pos="2160"/>
        </w:tabs>
        <w:ind w:left="2160" w:hanging="360"/>
      </w:pPr>
      <w:rPr>
        <w:rFonts w:ascii="Wingdings" w:hAnsi="Wingdings" w:hint="default"/>
      </w:rPr>
    </w:lvl>
    <w:lvl w:ilvl="3" w:tplc="30D49920" w:tentative="1">
      <w:start w:val="1"/>
      <w:numFmt w:val="bullet"/>
      <w:lvlText w:val=""/>
      <w:lvlJc w:val="left"/>
      <w:pPr>
        <w:tabs>
          <w:tab w:val="num" w:pos="2880"/>
        </w:tabs>
        <w:ind w:left="2880" w:hanging="360"/>
      </w:pPr>
      <w:rPr>
        <w:rFonts w:ascii="Wingdings" w:hAnsi="Wingdings" w:hint="default"/>
      </w:rPr>
    </w:lvl>
    <w:lvl w:ilvl="4" w:tplc="C694AA14" w:tentative="1">
      <w:start w:val="1"/>
      <w:numFmt w:val="bullet"/>
      <w:lvlText w:val=""/>
      <w:lvlJc w:val="left"/>
      <w:pPr>
        <w:tabs>
          <w:tab w:val="num" w:pos="3600"/>
        </w:tabs>
        <w:ind w:left="3600" w:hanging="360"/>
      </w:pPr>
      <w:rPr>
        <w:rFonts w:ascii="Wingdings" w:hAnsi="Wingdings" w:hint="default"/>
      </w:rPr>
    </w:lvl>
    <w:lvl w:ilvl="5" w:tplc="6CE85D2C" w:tentative="1">
      <w:start w:val="1"/>
      <w:numFmt w:val="bullet"/>
      <w:lvlText w:val=""/>
      <w:lvlJc w:val="left"/>
      <w:pPr>
        <w:tabs>
          <w:tab w:val="num" w:pos="4320"/>
        </w:tabs>
        <w:ind w:left="4320" w:hanging="360"/>
      </w:pPr>
      <w:rPr>
        <w:rFonts w:ascii="Wingdings" w:hAnsi="Wingdings" w:hint="default"/>
      </w:rPr>
    </w:lvl>
    <w:lvl w:ilvl="6" w:tplc="BEA44EBC" w:tentative="1">
      <w:start w:val="1"/>
      <w:numFmt w:val="bullet"/>
      <w:lvlText w:val=""/>
      <w:lvlJc w:val="left"/>
      <w:pPr>
        <w:tabs>
          <w:tab w:val="num" w:pos="5040"/>
        </w:tabs>
        <w:ind w:left="5040" w:hanging="360"/>
      </w:pPr>
      <w:rPr>
        <w:rFonts w:ascii="Wingdings" w:hAnsi="Wingdings" w:hint="default"/>
      </w:rPr>
    </w:lvl>
    <w:lvl w:ilvl="7" w:tplc="11CC4126" w:tentative="1">
      <w:start w:val="1"/>
      <w:numFmt w:val="bullet"/>
      <w:lvlText w:val=""/>
      <w:lvlJc w:val="left"/>
      <w:pPr>
        <w:tabs>
          <w:tab w:val="num" w:pos="5760"/>
        </w:tabs>
        <w:ind w:left="5760" w:hanging="360"/>
      </w:pPr>
      <w:rPr>
        <w:rFonts w:ascii="Wingdings" w:hAnsi="Wingdings" w:hint="default"/>
      </w:rPr>
    </w:lvl>
    <w:lvl w:ilvl="8" w:tplc="E21E5C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105DD4"/>
    <w:rsid w:val="00151ADF"/>
    <w:rsid w:val="00175ADE"/>
    <w:rsid w:val="00185B76"/>
    <w:rsid w:val="001B428D"/>
    <w:rsid w:val="001B5DAD"/>
    <w:rsid w:val="00271010"/>
    <w:rsid w:val="0027512B"/>
    <w:rsid w:val="002F375E"/>
    <w:rsid w:val="003406F3"/>
    <w:rsid w:val="00357C78"/>
    <w:rsid w:val="003630ED"/>
    <w:rsid w:val="00397FEA"/>
    <w:rsid w:val="003E0EDB"/>
    <w:rsid w:val="004639E3"/>
    <w:rsid w:val="0051122C"/>
    <w:rsid w:val="00534FB7"/>
    <w:rsid w:val="005703B7"/>
    <w:rsid w:val="00594B3F"/>
    <w:rsid w:val="005951B6"/>
    <w:rsid w:val="005A4E47"/>
    <w:rsid w:val="006B6864"/>
    <w:rsid w:val="006F4B1A"/>
    <w:rsid w:val="007169BB"/>
    <w:rsid w:val="00761BA4"/>
    <w:rsid w:val="007B75A9"/>
    <w:rsid w:val="00823B30"/>
    <w:rsid w:val="008D7196"/>
    <w:rsid w:val="008E3FE7"/>
    <w:rsid w:val="009277BD"/>
    <w:rsid w:val="0094072C"/>
    <w:rsid w:val="009A46F5"/>
    <w:rsid w:val="00A00A58"/>
    <w:rsid w:val="00A03CF0"/>
    <w:rsid w:val="00A4110D"/>
    <w:rsid w:val="00A45C00"/>
    <w:rsid w:val="00A734A5"/>
    <w:rsid w:val="00AD2B58"/>
    <w:rsid w:val="00AF62EC"/>
    <w:rsid w:val="00B03741"/>
    <w:rsid w:val="00B468A3"/>
    <w:rsid w:val="00B569A5"/>
    <w:rsid w:val="00B71D66"/>
    <w:rsid w:val="00BB0093"/>
    <w:rsid w:val="00C03A1E"/>
    <w:rsid w:val="00C541A2"/>
    <w:rsid w:val="00C9640B"/>
    <w:rsid w:val="00CB02C4"/>
    <w:rsid w:val="00CB3026"/>
    <w:rsid w:val="00CF0C7C"/>
    <w:rsid w:val="00D82C18"/>
    <w:rsid w:val="00D944B5"/>
    <w:rsid w:val="00DB09DC"/>
    <w:rsid w:val="00E13BE7"/>
    <w:rsid w:val="00E17E67"/>
    <w:rsid w:val="00E55549"/>
    <w:rsid w:val="00E7344B"/>
    <w:rsid w:val="00E95703"/>
    <w:rsid w:val="00EB11FC"/>
    <w:rsid w:val="00F35B67"/>
    <w:rsid w:val="00F4792B"/>
    <w:rsid w:val="00F53802"/>
    <w:rsid w:val="00F62A15"/>
    <w:rsid w:val="00FC677E"/>
    <w:rsid w:val="00FD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D902590-5B3F-DC4A-B1B9-EFF6D9BA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C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sq-AL" w:eastAsia="de-DE"/>
    </w:rPr>
  </w:style>
  <w:style w:type="character" w:customStyle="1" w:styleId="bul1Char">
    <w:name w:val="bul1 Char"/>
    <w:link w:val="bul1"/>
    <w:locked/>
    <w:rsid w:val="00E7344B"/>
    <w:rPr>
      <w:rFonts w:ascii="Verdana" w:eastAsia="Calibri" w:hAnsi="Verdana" w:cs="Times New Roman"/>
      <w:sz w:val="18"/>
      <w:lang w:val="sq-AL"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paragraph" w:styleId="NormalWeb">
    <w:name w:val="Normal (Web)"/>
    <w:basedOn w:val="Normal"/>
    <w:uiPriority w:val="99"/>
    <w:semiHidden/>
    <w:unhideWhenUsed/>
    <w:rsid w:val="00151ADF"/>
    <w:pPr>
      <w:spacing w:before="100" w:beforeAutospacing="1" w:after="100" w:afterAutospacing="1"/>
    </w:pPr>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1772">
      <w:bodyDiv w:val="1"/>
      <w:marLeft w:val="0"/>
      <w:marRight w:val="0"/>
      <w:marTop w:val="0"/>
      <w:marBottom w:val="0"/>
      <w:divBdr>
        <w:top w:val="none" w:sz="0" w:space="0" w:color="auto"/>
        <w:left w:val="none" w:sz="0" w:space="0" w:color="auto"/>
        <w:bottom w:val="none" w:sz="0" w:space="0" w:color="auto"/>
        <w:right w:val="none" w:sz="0" w:space="0" w:color="auto"/>
      </w:divBdr>
      <w:divsChild>
        <w:div w:id="1871799613">
          <w:marLeft w:val="0"/>
          <w:marRight w:val="0"/>
          <w:marTop w:val="0"/>
          <w:marBottom w:val="0"/>
          <w:divBdr>
            <w:top w:val="none" w:sz="0" w:space="0" w:color="auto"/>
            <w:left w:val="none" w:sz="0" w:space="0" w:color="auto"/>
            <w:bottom w:val="none" w:sz="0" w:space="0" w:color="auto"/>
            <w:right w:val="none" w:sz="0" w:space="0" w:color="auto"/>
          </w:divBdr>
          <w:divsChild>
            <w:div w:id="1131022820">
              <w:marLeft w:val="0"/>
              <w:marRight w:val="0"/>
              <w:marTop w:val="0"/>
              <w:marBottom w:val="0"/>
              <w:divBdr>
                <w:top w:val="none" w:sz="0" w:space="0" w:color="auto"/>
                <w:left w:val="none" w:sz="0" w:space="0" w:color="auto"/>
                <w:bottom w:val="none" w:sz="0" w:space="0" w:color="auto"/>
                <w:right w:val="none" w:sz="0" w:space="0" w:color="auto"/>
              </w:divBdr>
              <w:divsChild>
                <w:div w:id="17112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2463">
      <w:bodyDiv w:val="1"/>
      <w:marLeft w:val="0"/>
      <w:marRight w:val="0"/>
      <w:marTop w:val="0"/>
      <w:marBottom w:val="0"/>
      <w:divBdr>
        <w:top w:val="none" w:sz="0" w:space="0" w:color="auto"/>
        <w:left w:val="none" w:sz="0" w:space="0" w:color="auto"/>
        <w:bottom w:val="none" w:sz="0" w:space="0" w:color="auto"/>
        <w:right w:val="none" w:sz="0" w:space="0" w:color="auto"/>
      </w:divBdr>
    </w:div>
    <w:div w:id="730084200">
      <w:bodyDiv w:val="1"/>
      <w:marLeft w:val="0"/>
      <w:marRight w:val="0"/>
      <w:marTop w:val="0"/>
      <w:marBottom w:val="0"/>
      <w:divBdr>
        <w:top w:val="none" w:sz="0" w:space="0" w:color="auto"/>
        <w:left w:val="none" w:sz="0" w:space="0" w:color="auto"/>
        <w:bottom w:val="none" w:sz="0" w:space="0" w:color="auto"/>
        <w:right w:val="none" w:sz="0" w:space="0" w:color="auto"/>
      </w:divBdr>
    </w:div>
    <w:div w:id="1275289067">
      <w:bodyDiv w:val="1"/>
      <w:marLeft w:val="0"/>
      <w:marRight w:val="0"/>
      <w:marTop w:val="0"/>
      <w:marBottom w:val="0"/>
      <w:divBdr>
        <w:top w:val="none" w:sz="0" w:space="0" w:color="auto"/>
        <w:left w:val="none" w:sz="0" w:space="0" w:color="auto"/>
        <w:bottom w:val="none" w:sz="0" w:space="0" w:color="auto"/>
        <w:right w:val="none" w:sz="0" w:space="0" w:color="auto"/>
      </w:divBdr>
    </w:div>
    <w:div w:id="1315449244">
      <w:bodyDiv w:val="1"/>
      <w:marLeft w:val="0"/>
      <w:marRight w:val="0"/>
      <w:marTop w:val="0"/>
      <w:marBottom w:val="0"/>
      <w:divBdr>
        <w:top w:val="none" w:sz="0" w:space="0" w:color="auto"/>
        <w:left w:val="none" w:sz="0" w:space="0" w:color="auto"/>
        <w:bottom w:val="none" w:sz="0" w:space="0" w:color="auto"/>
        <w:right w:val="none" w:sz="0" w:space="0" w:color="auto"/>
      </w:divBdr>
      <w:divsChild>
        <w:div w:id="1072119591">
          <w:marLeft w:val="547"/>
          <w:marRight w:val="0"/>
          <w:marTop w:val="0"/>
          <w:marBottom w:val="0"/>
          <w:divBdr>
            <w:top w:val="none" w:sz="0" w:space="0" w:color="auto"/>
            <w:left w:val="none" w:sz="0" w:space="0" w:color="auto"/>
            <w:bottom w:val="none" w:sz="0" w:space="0" w:color="auto"/>
            <w:right w:val="none" w:sz="0" w:space="0" w:color="auto"/>
          </w:divBdr>
        </w:div>
        <w:div w:id="2132892121">
          <w:marLeft w:val="547"/>
          <w:marRight w:val="0"/>
          <w:marTop w:val="0"/>
          <w:marBottom w:val="0"/>
          <w:divBdr>
            <w:top w:val="none" w:sz="0" w:space="0" w:color="auto"/>
            <w:left w:val="none" w:sz="0" w:space="0" w:color="auto"/>
            <w:bottom w:val="none" w:sz="0" w:space="0" w:color="auto"/>
            <w:right w:val="none" w:sz="0" w:space="0" w:color="auto"/>
          </w:divBdr>
        </w:div>
        <w:div w:id="1705013647">
          <w:marLeft w:val="547"/>
          <w:marRight w:val="0"/>
          <w:marTop w:val="0"/>
          <w:marBottom w:val="0"/>
          <w:divBdr>
            <w:top w:val="none" w:sz="0" w:space="0" w:color="auto"/>
            <w:left w:val="none" w:sz="0" w:space="0" w:color="auto"/>
            <w:bottom w:val="none" w:sz="0" w:space="0" w:color="auto"/>
            <w:right w:val="none" w:sz="0" w:space="0" w:color="auto"/>
          </w:divBdr>
        </w:div>
        <w:div w:id="1517424476">
          <w:marLeft w:val="547"/>
          <w:marRight w:val="0"/>
          <w:marTop w:val="0"/>
          <w:marBottom w:val="0"/>
          <w:divBdr>
            <w:top w:val="none" w:sz="0" w:space="0" w:color="auto"/>
            <w:left w:val="none" w:sz="0" w:space="0" w:color="auto"/>
            <w:bottom w:val="none" w:sz="0" w:space="0" w:color="auto"/>
            <w:right w:val="none" w:sz="0" w:space="0" w:color="auto"/>
          </w:divBdr>
        </w:div>
      </w:divsChild>
    </w:div>
    <w:div w:id="1435593429">
      <w:bodyDiv w:val="1"/>
      <w:marLeft w:val="0"/>
      <w:marRight w:val="0"/>
      <w:marTop w:val="0"/>
      <w:marBottom w:val="0"/>
      <w:divBdr>
        <w:top w:val="none" w:sz="0" w:space="0" w:color="auto"/>
        <w:left w:val="none" w:sz="0" w:space="0" w:color="auto"/>
        <w:bottom w:val="none" w:sz="0" w:space="0" w:color="auto"/>
        <w:right w:val="none" w:sz="0" w:space="0" w:color="auto"/>
      </w:divBdr>
    </w:div>
    <w:div w:id="1762871862">
      <w:bodyDiv w:val="1"/>
      <w:marLeft w:val="0"/>
      <w:marRight w:val="0"/>
      <w:marTop w:val="0"/>
      <w:marBottom w:val="0"/>
      <w:divBdr>
        <w:top w:val="none" w:sz="0" w:space="0" w:color="auto"/>
        <w:left w:val="none" w:sz="0" w:space="0" w:color="auto"/>
        <w:bottom w:val="none" w:sz="0" w:space="0" w:color="auto"/>
        <w:right w:val="none" w:sz="0" w:space="0" w:color="auto"/>
      </w:divBdr>
      <w:divsChild>
        <w:div w:id="1416394940">
          <w:marLeft w:val="0"/>
          <w:marRight w:val="0"/>
          <w:marTop w:val="0"/>
          <w:marBottom w:val="0"/>
          <w:divBdr>
            <w:top w:val="none" w:sz="0" w:space="0" w:color="auto"/>
            <w:left w:val="none" w:sz="0" w:space="0" w:color="auto"/>
            <w:bottom w:val="none" w:sz="0" w:space="0" w:color="auto"/>
            <w:right w:val="none" w:sz="0" w:space="0" w:color="auto"/>
          </w:divBdr>
          <w:divsChild>
            <w:div w:id="1752391769">
              <w:marLeft w:val="0"/>
              <w:marRight w:val="0"/>
              <w:marTop w:val="0"/>
              <w:marBottom w:val="0"/>
              <w:divBdr>
                <w:top w:val="none" w:sz="0" w:space="0" w:color="auto"/>
                <w:left w:val="none" w:sz="0" w:space="0" w:color="auto"/>
                <w:bottom w:val="none" w:sz="0" w:space="0" w:color="auto"/>
                <w:right w:val="none" w:sz="0" w:space="0" w:color="auto"/>
              </w:divBdr>
              <w:divsChild>
                <w:div w:id="3651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2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B. Stam</cp:lastModifiedBy>
  <cp:revision>2</cp:revision>
  <dcterms:created xsi:type="dcterms:W3CDTF">2020-09-23T15:40:00Z</dcterms:created>
  <dcterms:modified xsi:type="dcterms:W3CDTF">2020-09-23T15:40:00Z</dcterms:modified>
</cp:coreProperties>
</file>