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8724" w14:textId="3E2F8687" w:rsidR="00BA319A" w:rsidRPr="00BA319A" w:rsidRDefault="00B3608C" w:rsidP="00BA319A">
      <w:pPr>
        <w:rPr>
          <w:rFonts w:ascii="Verdana" w:hAnsi="Verdana"/>
          <w:b/>
          <w:bCs/>
          <w:color w:val="000000" w:themeColor="text1"/>
          <w:sz w:val="28"/>
          <w:szCs w:val="28"/>
        </w:rPr>
      </w:pPr>
      <w:r>
        <w:rPr>
          <w:rFonts w:ascii="Verdana" w:hAnsi="Verdana"/>
          <w:b/>
          <w:sz w:val="28"/>
        </w:rPr>
        <w:t>Sessão 3.x Reforço de competências em matéria de cibercrime</w:t>
      </w:r>
    </w:p>
    <w:p w14:paraId="1D0E3DC5" w14:textId="14C23F0E" w:rsidR="00C115FC" w:rsidRPr="00C115FC" w:rsidRDefault="00C115FC" w:rsidP="00BA319A">
      <w:pPr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5320"/>
        <w:gridCol w:w="2165"/>
      </w:tblGrid>
      <w:tr w:rsidR="00C115FC" w:rsidRPr="00D82C18" w14:paraId="58A3485E" w14:textId="77777777" w:rsidTr="00F1574D">
        <w:trPr>
          <w:trHeight w:val="872"/>
        </w:trPr>
        <w:tc>
          <w:tcPr>
            <w:tcW w:w="6845" w:type="dxa"/>
            <w:gridSpan w:val="2"/>
            <w:shd w:val="clear" w:color="auto" w:fill="DEEAF6" w:themeFill="accent5" w:themeFillTint="33"/>
            <w:vAlign w:val="center"/>
          </w:tcPr>
          <w:p w14:paraId="34338673" w14:textId="43382076" w:rsidR="00BA319A" w:rsidRPr="00BA319A" w:rsidRDefault="00C115FC" w:rsidP="00BA319A">
            <w:pPr>
              <w:rPr>
                <w:rFonts w:ascii="Verdana" w:hAnsi="Verdana"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</w:rPr>
              <w:t>Sessão 3.x Reforço de competências em matéria de cibercrime</w:t>
            </w:r>
          </w:p>
          <w:p w14:paraId="0067FF35" w14:textId="37B9BDEC" w:rsidR="00D82C18" w:rsidRPr="00BA319A" w:rsidRDefault="00D82C18" w:rsidP="00C115FC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DEEAF6" w:themeFill="accent5" w:themeFillTint="33"/>
            <w:vAlign w:val="center"/>
          </w:tcPr>
          <w:p w14:paraId="30B631DA" w14:textId="1596289E" w:rsidR="00D82C18" w:rsidRPr="00D82C18" w:rsidRDefault="00D82C18" w:rsidP="00C115F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</w:rPr>
              <w:t xml:space="preserve">Duração: </w:t>
            </w:r>
            <w:r>
              <w:rPr>
                <w:rFonts w:ascii="Verdana" w:hAnsi="Verdana"/>
                <w:color w:val="000000" w:themeColor="text1"/>
                <w:sz w:val="22"/>
              </w:rPr>
              <w:t xml:space="preserve">130 minutos </w:t>
            </w:r>
          </w:p>
        </w:tc>
      </w:tr>
      <w:tr w:rsidR="00E7344B" w:rsidRPr="00D82C18" w14:paraId="7C1107AB" w14:textId="77777777" w:rsidTr="00B56791">
        <w:trPr>
          <w:trHeight w:val="1376"/>
        </w:trPr>
        <w:tc>
          <w:tcPr>
            <w:tcW w:w="9010" w:type="dxa"/>
            <w:gridSpan w:val="3"/>
            <w:vAlign w:val="center"/>
          </w:tcPr>
          <w:p w14:paraId="0B1C3404" w14:textId="68B9BEF1" w:rsidR="00E7344B" w:rsidRPr="000F7896" w:rsidRDefault="00E7344B" w:rsidP="000F7896">
            <w:pPr>
              <w:spacing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 xml:space="preserve">Recursos necessários: </w:t>
            </w:r>
          </w:p>
          <w:p w14:paraId="060400D8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PC/computador portátil que disponha de versões de software compatíveis com os materiais preparados </w:t>
            </w:r>
          </w:p>
          <w:p w14:paraId="62A10C2C" w14:textId="77777777" w:rsidR="000F7896" w:rsidRPr="000F7896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 xml:space="preserve">Acesso à Internet (se disponível) </w:t>
            </w:r>
          </w:p>
          <w:p w14:paraId="575CEC8B" w14:textId="2BC4AD0F" w:rsidR="000F7896" w:rsidRPr="000F2415" w:rsidRDefault="000F7896" w:rsidP="000F7896">
            <w:pPr>
              <w:pStyle w:val="bul1"/>
              <w:numPr>
                <w:ilvl w:val="0"/>
                <w:numId w:val="6"/>
              </w:numPr>
              <w:spacing w:line="280" w:lineRule="exact"/>
              <w:rPr>
                <w:rFonts w:ascii="Symbol" w:hAnsi="Symbol"/>
              </w:rPr>
            </w:pPr>
            <w:r>
              <w:t>PowerPoint ou outro software de apresentação</w:t>
            </w:r>
          </w:p>
          <w:p w14:paraId="14CF9EF0" w14:textId="6F36593B" w:rsidR="000F7896" w:rsidRPr="000F7896" w:rsidRDefault="000F7896" w:rsidP="00471328">
            <w:pPr>
              <w:pStyle w:val="bul1"/>
              <w:numPr>
                <w:ilvl w:val="0"/>
                <w:numId w:val="0"/>
              </w:numPr>
              <w:spacing w:line="280" w:lineRule="exact"/>
              <w:ind w:left="720"/>
              <w:rPr>
                <w:lang w:val="en-US"/>
              </w:rPr>
            </w:pPr>
          </w:p>
        </w:tc>
      </w:tr>
      <w:tr w:rsidR="00E7344B" w:rsidRPr="00D82C18" w14:paraId="635F2EFD" w14:textId="77777777" w:rsidTr="000F2415">
        <w:trPr>
          <w:trHeight w:val="1403"/>
        </w:trPr>
        <w:tc>
          <w:tcPr>
            <w:tcW w:w="9010" w:type="dxa"/>
            <w:gridSpan w:val="3"/>
            <w:vAlign w:val="center"/>
          </w:tcPr>
          <w:p w14:paraId="34602AF3" w14:textId="2CCB5653" w:rsidR="00A03CF0" w:rsidRDefault="00A03CF0" w:rsidP="00F62A15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Objetivo da sessão:</w:t>
            </w:r>
            <w:r w:rsidR="00E0185D">
              <w:rPr>
                <w:rFonts w:ascii="Verdana" w:hAnsi="Verdana"/>
                <w:b/>
                <w:sz w:val="22"/>
              </w:rPr>
              <w:t xml:space="preserve"> </w:t>
            </w:r>
          </w:p>
          <w:p w14:paraId="7A737B56" w14:textId="0F692F34" w:rsidR="00BA319A" w:rsidRPr="00BA319A" w:rsidRDefault="00BA319A" w:rsidP="00BA319A">
            <w:pPr>
              <w:contextualSpacing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O objetivo desta sessão é verificar o nível de compreensão por parte dos participantes dos temas anteriormente apresentados através da análise de estudos de casos práticos.</w:t>
            </w:r>
          </w:p>
          <w:p w14:paraId="3FE58655" w14:textId="04E941D8" w:rsidR="00A03CF0" w:rsidRPr="004D35F1" w:rsidRDefault="00A03CF0" w:rsidP="00B56791">
            <w:pPr>
              <w:contextualSpacing/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</w:p>
        </w:tc>
      </w:tr>
      <w:tr w:rsidR="00A03CF0" w:rsidRPr="00D82C18" w14:paraId="1B5A80A7" w14:textId="77777777" w:rsidTr="000F2415">
        <w:trPr>
          <w:trHeight w:val="2690"/>
        </w:trPr>
        <w:tc>
          <w:tcPr>
            <w:tcW w:w="9010" w:type="dxa"/>
            <w:gridSpan w:val="3"/>
          </w:tcPr>
          <w:p w14:paraId="72A48270" w14:textId="77777777" w:rsidR="00B40FCA" w:rsidRDefault="00B40FCA" w:rsidP="00F62A15">
            <w:pPr>
              <w:spacing w:before="120" w:after="120" w:line="280" w:lineRule="exact"/>
              <w:contextualSpacing/>
              <w:rPr>
                <w:rFonts w:ascii="Verdana" w:hAnsi="Verdana"/>
                <w:b/>
                <w:sz w:val="22"/>
                <w:szCs w:val="22"/>
              </w:rPr>
            </w:pPr>
          </w:p>
          <w:p w14:paraId="559A7E05" w14:textId="3672F16C" w:rsidR="00A03CF0" w:rsidRPr="00271010" w:rsidRDefault="00271010" w:rsidP="00F62A15">
            <w:pPr>
              <w:spacing w:before="120" w:after="120" w:line="280" w:lineRule="exact"/>
              <w:contextualSpacing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Objetivos:</w:t>
            </w:r>
          </w:p>
          <w:p w14:paraId="5A1E9EBA" w14:textId="27C13040" w:rsidR="000F2415" w:rsidRPr="000F2415" w:rsidRDefault="000F2415" w:rsidP="000F2415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Analisar a síntese do estudo de caso no ambiente do trabalho de grupo</w:t>
            </w:r>
          </w:p>
          <w:p w14:paraId="3964C5BE" w14:textId="77777777" w:rsidR="000F2415" w:rsidRPr="000F2415" w:rsidRDefault="000F2415" w:rsidP="000F2415">
            <w:pPr>
              <w:tabs>
                <w:tab w:val="left" w:pos="426"/>
                <w:tab w:val="left" w:pos="851"/>
              </w:tabs>
              <w:ind w:left="36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14:paraId="63BC2D92" w14:textId="4B26C6AE" w:rsidR="000F2415" w:rsidRPr="000F2415" w:rsidRDefault="000F2415" w:rsidP="000F2415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Aplicar os conhecimentos adquiridos na Formação Judiciária de Base sobre Cibercrime e Provas sob a Forma Eletrónica ao estudo de caso</w:t>
            </w:r>
          </w:p>
          <w:p w14:paraId="08FB48D8" w14:textId="77777777" w:rsidR="000F2415" w:rsidRPr="000F2415" w:rsidRDefault="000F2415" w:rsidP="000F2415">
            <w:pPr>
              <w:tabs>
                <w:tab w:val="left" w:pos="426"/>
                <w:tab w:val="left" w:pos="851"/>
              </w:tabs>
              <w:ind w:left="36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14:paraId="452D1860" w14:textId="2B263F0B" w:rsidR="000F2415" w:rsidRPr="000F2415" w:rsidRDefault="000F2415" w:rsidP="000F2415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Relatar as conclusões do estudo de caso</w:t>
            </w:r>
          </w:p>
          <w:p w14:paraId="754D41CA" w14:textId="77777777" w:rsidR="000F2415" w:rsidRPr="000F2415" w:rsidRDefault="000F2415" w:rsidP="000F2415">
            <w:pPr>
              <w:tabs>
                <w:tab w:val="left" w:pos="426"/>
                <w:tab w:val="left" w:pos="851"/>
              </w:tabs>
              <w:ind w:left="360"/>
              <w:jc w:val="both"/>
              <w:rPr>
                <w:rFonts w:ascii="Verdana" w:eastAsia="Times New Roman" w:hAnsi="Verdana" w:cs="Times New Roman"/>
                <w:sz w:val="18"/>
                <w:szCs w:val="18"/>
                <w:lang w:val="en-US"/>
              </w:rPr>
            </w:pPr>
          </w:p>
          <w:p w14:paraId="61ABEAC5" w14:textId="7B3A9CCD" w:rsidR="004D35F1" w:rsidRPr="000F2415" w:rsidRDefault="000F2415" w:rsidP="000F2415">
            <w:pPr>
              <w:pStyle w:val="ListParagraph"/>
              <w:numPr>
                <w:ilvl w:val="0"/>
                <w:numId w:val="18"/>
              </w:numPr>
              <w:tabs>
                <w:tab w:val="left" w:pos="426"/>
                <w:tab w:val="left" w:pos="851"/>
              </w:tabs>
              <w:jc w:val="both"/>
              <w:rPr>
                <w:rFonts w:ascii="Verdana" w:eastAsia="Times New Roman" w:hAnsi="Verdana" w:cs="Times New Roman"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</w:rPr>
              <w:t>Compreender quais os passos seguintes a dar para desenvolver conhecimentos e competências em matéria de cibercrime</w:t>
            </w:r>
          </w:p>
        </w:tc>
      </w:tr>
      <w:tr w:rsidR="005703B7" w:rsidRPr="00D82C18" w14:paraId="03110757" w14:textId="77777777" w:rsidTr="00D62E5F">
        <w:trPr>
          <w:trHeight w:val="3230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vAlign w:val="center"/>
          </w:tcPr>
          <w:p w14:paraId="7A064E85" w14:textId="39A6E0DE" w:rsidR="005703B7" w:rsidRDefault="00E95703" w:rsidP="00F62A15">
            <w:pPr>
              <w:spacing w:before="120" w:after="120" w:line="280" w:lineRule="exact"/>
              <w:rPr>
                <w:rFonts w:ascii="Verdana" w:hAnsi="Verdan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Verdana" w:hAnsi="Verdana"/>
                <w:b/>
                <w:color w:val="000000" w:themeColor="text1"/>
                <w:sz w:val="22"/>
              </w:rPr>
              <w:t>Orientação para o formador</w:t>
            </w:r>
          </w:p>
          <w:p w14:paraId="4A62EF5F" w14:textId="0CCF50E3" w:rsidR="004D35F1" w:rsidRDefault="004D35F1" w:rsidP="00D46C6A">
            <w:pPr>
              <w:spacing w:beforeLines="20" w:before="48" w:afterLines="120" w:after="288" w:line="280" w:lineRule="atLeast"/>
              <w:jc w:val="both"/>
              <w:rPr>
                <w:rFonts w:ascii="Verdana" w:hAnsi="Verdana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Durante a sessão, devem ser considerados os seguintes temas:</w:t>
            </w:r>
          </w:p>
          <w:p w14:paraId="4F2E7318" w14:textId="44023057" w:rsidR="00F824B2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Introdução ao estudo de caso</w:t>
            </w:r>
          </w:p>
          <w:p w14:paraId="23056488" w14:textId="55CC9F83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Divisão do grupo</w:t>
            </w:r>
          </w:p>
          <w:p w14:paraId="261056EF" w14:textId="0ABDB081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Atribuição de tempo para a análise</w:t>
            </w:r>
          </w:p>
          <w:p w14:paraId="2A28FAAA" w14:textId="2F9BC450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Atribuição de tempo para o relatório do grupo</w:t>
            </w:r>
          </w:p>
          <w:p w14:paraId="02172638" w14:textId="77777777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Estudo de caso</w:t>
            </w:r>
          </w:p>
          <w:p w14:paraId="41DA5A85" w14:textId="77777777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Relatório do grupo</w:t>
            </w:r>
          </w:p>
          <w:p w14:paraId="62AB3B6E" w14:textId="77777777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Questões a abordar</w:t>
            </w:r>
          </w:p>
          <w:p w14:paraId="5EFF4BEF" w14:textId="53F93B2B" w:rsidR="000F2415" w:rsidRPr="00D46C6A" w:rsidRDefault="000F2415" w:rsidP="00D46C6A">
            <w:pPr>
              <w:pStyle w:val="ListParagraph"/>
              <w:widowControl w:val="0"/>
              <w:numPr>
                <w:ilvl w:val="0"/>
                <w:numId w:val="35"/>
              </w:numPr>
              <w:spacing w:beforeLines="20" w:before="48" w:afterLines="120" w:after="288" w:line="280" w:lineRule="atLeast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Conclusões do exercício</w:t>
            </w:r>
          </w:p>
        </w:tc>
      </w:tr>
      <w:tr w:rsidR="005A4E47" w:rsidRPr="00D82C18" w14:paraId="7760520D" w14:textId="77777777" w:rsidTr="00F1574D">
        <w:trPr>
          <w:trHeight w:val="728"/>
        </w:trPr>
        <w:tc>
          <w:tcPr>
            <w:tcW w:w="9010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F533D38" w14:textId="77777777" w:rsidR="005A4E47" w:rsidRPr="00CB3026" w:rsidRDefault="005A4E47" w:rsidP="00CB3026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</w:rPr>
              <w:t>Teor da sessão</w:t>
            </w:r>
          </w:p>
        </w:tc>
      </w:tr>
      <w:tr w:rsidR="00F1574D" w:rsidRPr="00D82C18" w14:paraId="57CC7AA4" w14:textId="77777777" w:rsidTr="00F1574D">
        <w:trPr>
          <w:trHeight w:val="629"/>
        </w:trPr>
        <w:tc>
          <w:tcPr>
            <w:tcW w:w="1525" w:type="dxa"/>
            <w:shd w:val="clear" w:color="auto" w:fill="D9E2F3" w:themeFill="accent1" w:themeFillTint="33"/>
            <w:vAlign w:val="center"/>
          </w:tcPr>
          <w:p w14:paraId="4538C338" w14:textId="77777777" w:rsidR="00D82C18" w:rsidRPr="00E13BE7" w:rsidRDefault="00E13BE7" w:rsidP="00CB3026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Números dos slides</w:t>
            </w:r>
          </w:p>
        </w:tc>
        <w:tc>
          <w:tcPr>
            <w:tcW w:w="7485" w:type="dxa"/>
            <w:gridSpan w:val="2"/>
            <w:shd w:val="clear" w:color="auto" w:fill="D9E2F3" w:themeFill="accent1" w:themeFillTint="33"/>
            <w:vAlign w:val="center"/>
          </w:tcPr>
          <w:p w14:paraId="2DA616FC" w14:textId="77777777" w:rsidR="00D82C18" w:rsidRPr="00E13BE7" w:rsidRDefault="00E13BE7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Teor</w:t>
            </w:r>
          </w:p>
        </w:tc>
      </w:tr>
      <w:tr w:rsidR="00F1574D" w:rsidRPr="00D82C18" w14:paraId="11A12D7E" w14:textId="77777777" w:rsidTr="00BD7897">
        <w:trPr>
          <w:trHeight w:val="1043"/>
        </w:trPr>
        <w:tc>
          <w:tcPr>
            <w:tcW w:w="1525" w:type="dxa"/>
            <w:vAlign w:val="center"/>
          </w:tcPr>
          <w:p w14:paraId="67083237" w14:textId="7BCA6E59" w:rsidR="00D82C18" w:rsidRDefault="003630ED" w:rsidP="00F1574D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1 a 3</w:t>
            </w:r>
          </w:p>
          <w:p w14:paraId="5A89CF27" w14:textId="71EEF2DB" w:rsidR="00F1574D" w:rsidRPr="00F62A15" w:rsidRDefault="00F1574D" w:rsidP="00F1574D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485" w:type="dxa"/>
            <w:gridSpan w:val="2"/>
            <w:vAlign w:val="center"/>
          </w:tcPr>
          <w:p w14:paraId="36345B59" w14:textId="11CCE798" w:rsidR="00556D69" w:rsidRPr="00556D69" w:rsidRDefault="00556D69" w:rsidP="000F2415">
            <w:pPr>
              <w:spacing w:before="120" w:after="120" w:line="280" w:lineRule="exact"/>
              <w:jc w:val="both"/>
              <w:rPr>
                <w:rFonts w:ascii="Verdana" w:hAnsi="Verdana"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Os slides iniciais são a introdução à sessão e incluem a agenda e os objetivos da sessão.</w:t>
            </w:r>
          </w:p>
        </w:tc>
      </w:tr>
      <w:tr w:rsidR="00A60446" w:rsidRPr="00D82C18" w14:paraId="42D2960A" w14:textId="77777777" w:rsidTr="000F2415">
        <w:trPr>
          <w:trHeight w:val="1160"/>
        </w:trPr>
        <w:tc>
          <w:tcPr>
            <w:tcW w:w="1525" w:type="dxa"/>
            <w:vAlign w:val="center"/>
          </w:tcPr>
          <w:p w14:paraId="3DAC33AA" w14:textId="62080AF5" w:rsidR="00A60446" w:rsidRDefault="00BA6A8F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4 a 7</w:t>
            </w:r>
          </w:p>
        </w:tc>
        <w:tc>
          <w:tcPr>
            <w:tcW w:w="7485" w:type="dxa"/>
            <w:gridSpan w:val="2"/>
            <w:vAlign w:val="center"/>
          </w:tcPr>
          <w:p w14:paraId="16228424" w14:textId="77777777" w:rsidR="00A60446" w:rsidRDefault="00BA6A8F" w:rsidP="0045500D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Estes slides apresentam a introdução ao próprio exercício com explicações sucintas sobre as disposições logísticas para o mesmo.</w:t>
            </w:r>
          </w:p>
          <w:p w14:paraId="67CC13E1" w14:textId="5E376C75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O estudo de caso é concebido como um estudo modular, o que significa que é possível organizar diferentes configurações do exercício. O estudo de caso é modular na medida em que um, dois, quatro ou um número diferente de grupos podem trabalhar nele, dependendo das condições. Cada grupo, quando exista mais do que um, receberá a sua parte da história do caso e preparará a sua parte do relatório de caso. </w:t>
            </w:r>
          </w:p>
          <w:p w14:paraId="1B23908F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Idealmente, devem ser constituídos quatro grupos e cada grupo deve receber a sua parte do estudo. O Grupo 1 deverá trabalhar nos slides “Quem sou?”, o Grupo 2 deverá trabalhar nos slides “Seguir os dados”, o Grupo 3 deverá trabalhar nos slides “Seguir o dinheiro”, ao passo que o Grupo 4 deverá trabalhar nos slides ”Seguir o líder”. Se o número de participantes for diferente, o perito deve adaptar esta distribuição.</w:t>
            </w:r>
          </w:p>
          <w:p w14:paraId="3E6D6E0E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No final, na verdade, todos os grupos estarão, durante a apresentação do seu relatório, a reunir os relatórios parciais num único e grande relatório final, tomando consciência de que todos trabalharam num único caso e participaram na elaboração de uma história, ao mesmo tempo que resolveram o caso com conclusões conjuntas.</w:t>
            </w:r>
          </w:p>
          <w:p w14:paraId="0723DA18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Em função das condições locais de formação, o perito deve efetuar as adaptações necessárias com os participantes. A síntese pormenorizada do estudo de caso está disponível sob a forma de material de formação adicional.</w:t>
            </w:r>
          </w:p>
          <w:p w14:paraId="1246D7D4" w14:textId="23B88D3A" w:rsidR="00471328" w:rsidRPr="00D46C6A" w:rsidRDefault="00471328" w:rsidP="00D46C6A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Para a versão online da formação, o estudo de caso pode ser organizado de forma a que os participantes integram um grupo, enquanto o perito os orienta através dos factos, das perguntas e das soluções, colaborando ativamente com eles.</w:t>
            </w:r>
          </w:p>
        </w:tc>
      </w:tr>
      <w:tr w:rsidR="003B34C4" w:rsidRPr="00D82C18" w14:paraId="19763061" w14:textId="77777777" w:rsidTr="000F2415">
        <w:trPr>
          <w:trHeight w:val="890"/>
        </w:trPr>
        <w:tc>
          <w:tcPr>
            <w:tcW w:w="1525" w:type="dxa"/>
            <w:vAlign w:val="center"/>
          </w:tcPr>
          <w:p w14:paraId="58BC834A" w14:textId="59E86088" w:rsidR="003B34C4" w:rsidRDefault="00BA6A8F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8 a 18</w:t>
            </w:r>
          </w:p>
        </w:tc>
        <w:tc>
          <w:tcPr>
            <w:tcW w:w="7485" w:type="dxa"/>
            <w:gridSpan w:val="2"/>
            <w:vAlign w:val="center"/>
          </w:tcPr>
          <w:p w14:paraId="76C630C1" w14:textId="77777777" w:rsidR="003B34C4" w:rsidRDefault="003B34C4" w:rsidP="003B34C4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 xml:space="preserve">Estes slides apresentam o cenário do estudo de caso. </w:t>
            </w:r>
          </w:p>
          <w:p w14:paraId="052A2E87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 estudo de caso deriva de um dos processos atuais e ainda em curso num dos países parte na Convenção sobre o Cibercrime. Representa um estudo sobre as novas formas de organizar o branqueamento de capitais através da utilização abusiva das redes sociais, dos sistemas de pagamentos online e dos sistemas de apostas online.</w:t>
            </w:r>
          </w:p>
          <w:p w14:paraId="3E479B4E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No entanto, no seu cerne, este processo inclui definições e termos já familiares de acesso ilícito, interferência nos dados, falsidade informática, burla informática, infrações relacionadas com a violação do direito de autor e dos direitos conexos do ponto de vista do direito substantivo. </w:t>
            </w:r>
          </w:p>
          <w:p w14:paraId="5C1DC3E5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Do ponto de vista processual, utilizam-se instrumentos como a preservação expedita e divulgação parcial de dados de tráfego, injunção, busca e apreensão de dados informáticos armazenados, recolha em tempo real de dados relativos ao tráfego e interceção de dados de conteúdo.</w:t>
            </w:r>
          </w:p>
          <w:p w14:paraId="53059D73" w14:textId="7CF109BF" w:rsidR="00471328" w:rsidRPr="00471328" w:rsidRDefault="00471328" w:rsidP="00471328">
            <w:pPr>
              <w:spacing w:before="20" w:after="120" w:line="280" w:lineRule="atLeast"/>
              <w:jc w:val="both"/>
            </w:pPr>
            <w:r>
              <w:rPr>
                <w:rFonts w:ascii="Verdana" w:hAnsi="Verdana"/>
                <w:sz w:val="18"/>
              </w:rPr>
              <w:t>A parte relativa à assistência jurídica mútua recorre aos artigos da Convenção de Budapeste relativos à extradição, à preservação expedita e divulgação parcial de dados de tráfego, à divulgação expedita dos dados de tráfego preservados, à assistência mútua em matéria de acesso a dados informáticos armazenados, à assistência mútua em matéria de recolha em tempo real de dados relativos ao tráfego, à assistência mútua em matéria de interceção de dados de conteúdo e à rede 24/7.</w:t>
            </w:r>
          </w:p>
        </w:tc>
      </w:tr>
      <w:tr w:rsidR="003B34C4" w:rsidRPr="00D82C18" w14:paraId="2DD044A7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4CFF30A3" w14:textId="1521DA79" w:rsidR="003B34C4" w:rsidRDefault="000F2415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19 a 21</w:t>
            </w:r>
          </w:p>
        </w:tc>
        <w:tc>
          <w:tcPr>
            <w:tcW w:w="7485" w:type="dxa"/>
            <w:gridSpan w:val="2"/>
            <w:vAlign w:val="center"/>
          </w:tcPr>
          <w:p w14:paraId="72496BFC" w14:textId="22E1CCB1" w:rsidR="000F2415" w:rsidRDefault="000F2415" w:rsidP="00471328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Estes slides apresentam as tarefas, questões e eventuais perguntas sobre o estudo de caso.</w:t>
            </w:r>
          </w:p>
          <w:p w14:paraId="7382801A" w14:textId="7D5156A2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 perito deve apresentar as principais questões que representam basicamente as ideias-chave do caso, que devem ser exploradas durante a fase do trabalho de grupo.</w:t>
            </w:r>
          </w:p>
          <w:p w14:paraId="0F4F8740" w14:textId="77777777" w:rsidR="00471328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As principais questões abrangem todos os capítulos da Convenção sobre o Cibercrime. As conclusões devem centrar-se nos atos criminosos e nas disposições processuais e em matéria de AJM utilizadas para a análise de caso.</w:t>
            </w:r>
          </w:p>
          <w:p w14:paraId="74F9CA3C" w14:textId="68C56BA4" w:rsidR="0023008E" w:rsidRPr="00471328" w:rsidRDefault="00471328" w:rsidP="00471328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 processo não está pronto para o Tribunal.</w:t>
            </w:r>
          </w:p>
        </w:tc>
      </w:tr>
      <w:tr w:rsidR="00E72411" w:rsidRPr="00D82C18" w14:paraId="3A4D05A1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4B958B56" w14:textId="525B2C5C" w:rsidR="00E72411" w:rsidRDefault="00E72411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22</w:t>
            </w:r>
          </w:p>
        </w:tc>
        <w:tc>
          <w:tcPr>
            <w:tcW w:w="7485" w:type="dxa"/>
            <w:gridSpan w:val="2"/>
            <w:vAlign w:val="center"/>
          </w:tcPr>
          <w:p w14:paraId="1C21AF6F" w14:textId="77777777" w:rsidR="00E72411" w:rsidRDefault="00E72411" w:rsidP="00471328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 slide apresenta as perguntas e respostas específicas do Grupo 1 relativas ao estudo de caso.</w:t>
            </w:r>
          </w:p>
          <w:p w14:paraId="5F1D2098" w14:textId="77777777" w:rsidR="00E72411" w:rsidRPr="00E72411" w:rsidRDefault="00E72411" w:rsidP="00E72411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Respostas:</w:t>
            </w:r>
          </w:p>
          <w:p w14:paraId="7B784540" w14:textId="77777777" w:rsidR="00E72411" w:rsidRPr="00E72411" w:rsidRDefault="00E72411" w:rsidP="00E72411">
            <w:pPr>
              <w:pStyle w:val="ListParagraph"/>
              <w:numPr>
                <w:ilvl w:val="0"/>
                <w:numId w:val="26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se não existir um regime de retenção, artigo 16.º seguido pelo artigo 18.º; se a retenção estiver implementada, o artigo 18.º relativo a Rede das redes sociais no que diz respeito a dados de conteúdo. Contacto com a sede da marca sobre o jogo;</w:t>
            </w:r>
          </w:p>
          <w:p w14:paraId="5005A6E1" w14:textId="0375CF75" w:rsidR="00E72411" w:rsidRPr="00E72411" w:rsidRDefault="00E72411" w:rsidP="00E72411">
            <w:pPr>
              <w:pStyle w:val="ListParagraph"/>
              <w:numPr>
                <w:ilvl w:val="0"/>
                <w:numId w:val="26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se não existir um regime de retenção, artigo 16.º seguido pelo artigo 18.º; se a retenção estiver implementada, o artigo 18.º relativo a Rede das redes sociais no que diz respeito à informação sobre o subscritor principal.</w:t>
            </w:r>
          </w:p>
          <w:p w14:paraId="03DFDEAF" w14:textId="77777777" w:rsidR="00E72411" w:rsidRPr="00E72411" w:rsidRDefault="00E72411" w:rsidP="00E72411">
            <w:pPr>
              <w:pStyle w:val="ListParagraph"/>
              <w:numPr>
                <w:ilvl w:val="0"/>
                <w:numId w:val="26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audição de testemunhas e verificação de contas bancárias;</w:t>
            </w:r>
          </w:p>
          <w:p w14:paraId="3E6E83FD" w14:textId="77777777" w:rsidR="00E72411" w:rsidRPr="00E72411" w:rsidRDefault="00E72411" w:rsidP="00E72411">
            <w:pPr>
              <w:pStyle w:val="ListParagraph"/>
              <w:numPr>
                <w:ilvl w:val="0"/>
                <w:numId w:val="26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artigo 8.º;</w:t>
            </w:r>
          </w:p>
          <w:p w14:paraId="430F3ABC" w14:textId="513B203C" w:rsidR="00E72411" w:rsidRPr="00D46C6A" w:rsidRDefault="00E72411" w:rsidP="00E72411">
            <w:pPr>
              <w:pStyle w:val="ListParagraph"/>
              <w:numPr>
                <w:ilvl w:val="0"/>
                <w:numId w:val="26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identificação das pessoas que administram as páginas premiadas e respetiva inquirição.</w:t>
            </w:r>
          </w:p>
        </w:tc>
      </w:tr>
      <w:tr w:rsidR="00E72411" w:rsidRPr="00D82C18" w14:paraId="4451A4C7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7AF5BB6C" w14:textId="37ED155D" w:rsidR="00E72411" w:rsidRDefault="00E72411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23</w:t>
            </w:r>
          </w:p>
        </w:tc>
        <w:tc>
          <w:tcPr>
            <w:tcW w:w="7485" w:type="dxa"/>
            <w:gridSpan w:val="2"/>
            <w:vAlign w:val="center"/>
          </w:tcPr>
          <w:p w14:paraId="1D597185" w14:textId="55862361" w:rsidR="00E72411" w:rsidRDefault="00E72411" w:rsidP="00E72411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 slide apresenta as perguntas e respostas específicas do Grupo 2 relativas ao estudo de caso.</w:t>
            </w:r>
          </w:p>
          <w:p w14:paraId="553E9CDB" w14:textId="77777777" w:rsidR="00E72411" w:rsidRPr="00E72411" w:rsidRDefault="00E72411" w:rsidP="00E72411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Respostas:</w:t>
            </w:r>
          </w:p>
          <w:p w14:paraId="5E147179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se não existir um regime de retenção, artigo 16.º seguido pelo artigo 18.º; se a retenção estiver implementada, o artigo 18.º relativo ao fornecedor de serviços de Internet da informação do subscritor principal, tráfego e dados de conteúdo;</w:t>
            </w:r>
          </w:p>
          <w:p w14:paraId="515208B8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endereços IP utilizados pelo administrador dos canais, registos da atividade administrativa, registos da atividade do utilizador relativos ao intercâmbio de dados pessoais, outras provas relativas ao fluxo de fundos e à comunicação;</w:t>
            </w:r>
          </w:p>
          <w:p w14:paraId="53256BE9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os endereços IP obtidos ao abrigo dos artigos 16.º e 18.º serão associados aos subscritores de fornecedores de serviços Internet e aos seus contratos de subscrição;</w:t>
            </w:r>
          </w:p>
          <w:p w14:paraId="5DA9A727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artigo 19.º sobre computadores na posse de suspeitos, interrogatório de suspeitos, declarações dos representantes da marca, do banco, das redes sociais e do fornecedor de serviços de Internet e obtenção de dados adicionais relacionados com o anterior, identificação do fornecedor de serviços de alojamento do </w:t>
            </w:r>
            <w:r>
              <w:rPr>
                <w:rFonts w:ascii="Verdana" w:hAnsi="Verdana"/>
                <w:i/>
                <w:iCs/>
                <w:sz w:val="18"/>
              </w:rPr>
              <w:t xml:space="preserve">dark market </w:t>
            </w:r>
            <w:r>
              <w:rPr>
                <w:rFonts w:ascii="Verdana" w:hAnsi="Verdana"/>
                <w:sz w:val="18"/>
              </w:rPr>
              <w:t xml:space="preserve">no país A, em função da via que os participantes tomem relativamente ao </w:t>
            </w:r>
            <w:r>
              <w:rPr>
                <w:rFonts w:ascii="Verdana" w:hAnsi="Verdana"/>
                <w:i/>
                <w:iCs/>
                <w:sz w:val="18"/>
              </w:rPr>
              <w:t xml:space="preserve">dark market </w:t>
            </w:r>
            <w:r>
              <w:rPr>
                <w:rFonts w:ascii="Verdana" w:hAnsi="Verdana"/>
                <w:sz w:val="18"/>
              </w:rPr>
              <w:t xml:space="preserve">(a sua existência é conhecida ou não do fornecedor), artigos 16.º, 18.º e 19.º, análise de registos de intercâmbio de dados pessoais entre vendedores e compradores e provas adicionais a esse respeito. Os artigos 20.º e 21.º podem ser aplicados para a recolha e a interceção de dados entre </w:t>
            </w:r>
            <w:r>
              <w:rPr>
                <w:rFonts w:ascii="Verdana" w:hAnsi="Verdana"/>
                <w:sz w:val="18"/>
              </w:rPr>
              <w:lastRenderedPageBreak/>
              <w:t>vendedores e compradores de dados privados, desde que os seus endereços IP sejam identificados;</w:t>
            </w:r>
          </w:p>
          <w:p w14:paraId="507E7762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a aplicação do artigo 19.º nos computadores dos suspeitos mostrou a presença do controlador de </w:t>
            </w:r>
            <w:r>
              <w:rPr>
                <w:rFonts w:ascii="Verdana" w:hAnsi="Verdana"/>
                <w:i/>
                <w:iCs/>
                <w:sz w:val="18"/>
              </w:rPr>
              <w:t xml:space="preserve">malware trojan </w:t>
            </w:r>
            <w:r>
              <w:rPr>
                <w:rFonts w:ascii="Verdana" w:hAnsi="Verdana"/>
                <w:sz w:val="18"/>
              </w:rPr>
              <w:t>instalado em alguns computadores da marca que permite o acesso aos canais originais;</w:t>
            </w:r>
          </w:p>
          <w:p w14:paraId="1EB6B9E1" w14:textId="77777777" w:rsidR="00E72411" w:rsidRPr="00E72411" w:rsidRDefault="00E72411" w:rsidP="00E72411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através das provas eletrónicas obtidas pela aplicação do artigo 19.º relativo aos dados privados dos computadores de vendedores e compradores que apresentam registos bancários e uma carteira de criptomoedas;</w:t>
            </w:r>
          </w:p>
          <w:p w14:paraId="40241BF7" w14:textId="0526275D" w:rsidR="00E72411" w:rsidRPr="00E72411" w:rsidRDefault="00E72411" w:rsidP="00471328">
            <w:pPr>
              <w:numPr>
                <w:ilvl w:val="0"/>
                <w:numId w:val="28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artigos 2.º e 4.º relativos ao acesso e à alteração dos canais originais das redes sociais da marca, artigo 7.º 10.º relativos ao abuso do jogo premiado em nome da marca e à utilização do logótipo da marca e de outros elementos dos DPI</w:t>
            </w:r>
          </w:p>
        </w:tc>
      </w:tr>
      <w:tr w:rsidR="00E72411" w:rsidRPr="00D82C18" w14:paraId="547FABF7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7D98FC54" w14:textId="15951028" w:rsidR="00E72411" w:rsidRDefault="00E72411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24</w:t>
            </w:r>
          </w:p>
        </w:tc>
        <w:tc>
          <w:tcPr>
            <w:tcW w:w="7485" w:type="dxa"/>
            <w:gridSpan w:val="2"/>
            <w:vAlign w:val="center"/>
          </w:tcPr>
          <w:p w14:paraId="27EF0373" w14:textId="18F71EE7" w:rsidR="00E72411" w:rsidRDefault="00E72411" w:rsidP="00E72411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 slide apresenta as perguntas e respostas específicas do Grupo 3 relativas ao estudo de caso.</w:t>
            </w:r>
          </w:p>
          <w:p w14:paraId="32720932" w14:textId="77777777" w:rsidR="00E72411" w:rsidRPr="00E72411" w:rsidRDefault="00E72411" w:rsidP="00E72411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Respostas:</w:t>
            </w:r>
          </w:p>
          <w:p w14:paraId="5BD78BB1" w14:textId="17AE68FE" w:rsidR="00E72411" w:rsidRPr="00E72411" w:rsidRDefault="00E72411" w:rsidP="00E72411">
            <w:pPr>
              <w:pStyle w:val="Subtitle"/>
              <w:numPr>
                <w:ilvl w:val="0"/>
                <w:numId w:val="31"/>
              </w:numPr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registo de credenciais e transações em dinheiro;</w:t>
            </w:r>
          </w:p>
          <w:p w14:paraId="7716FEE8" w14:textId="77777777" w:rsidR="00E72411" w:rsidRPr="00E72411" w:rsidRDefault="00E72411" w:rsidP="00E72411">
            <w:pPr>
              <w:pStyle w:val="Subtitle"/>
              <w:numPr>
                <w:ilvl w:val="0"/>
                <w:numId w:val="31"/>
              </w:numPr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sim, a empresa de pagamentos online no país B aprova a cooperação voluntária, pelo que o pedido deve ser enviado pelas autoridades do país A em conformidade com as normas da empresa;</w:t>
            </w:r>
          </w:p>
          <w:p w14:paraId="483E02EA" w14:textId="77777777" w:rsidR="00E72411" w:rsidRPr="00E72411" w:rsidRDefault="00E72411" w:rsidP="00E72411">
            <w:pPr>
              <w:pStyle w:val="Subtitle"/>
              <w:numPr>
                <w:ilvl w:val="0"/>
                <w:numId w:val="31"/>
              </w:numPr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artigos 29.º e 31.º relativo à empresa de pagamentos online no tocante às contas de utilizador, artigo 30.º relativo aos dados sobre a comunicação com a empresa de apostas online do país C;</w:t>
            </w:r>
          </w:p>
          <w:p w14:paraId="0E02B5EF" w14:textId="77777777" w:rsidR="00E72411" w:rsidRPr="00E72411" w:rsidRDefault="00E72411" w:rsidP="00E72411">
            <w:pPr>
              <w:pStyle w:val="Subtitle"/>
              <w:numPr>
                <w:ilvl w:val="0"/>
                <w:numId w:val="31"/>
              </w:numPr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os artigos 29.º e 31.º também devem ser preparados para o país C, uma vez que não aceita a cooperação voluntária, ao passo que o artigo 26.º pode ser aplicado ao intercâmbio rápido de informações entre as autoridades de aplicação da lei</w:t>
            </w:r>
          </w:p>
          <w:p w14:paraId="71152D81" w14:textId="2FEADA5D" w:rsidR="00E72411" w:rsidRPr="00E72411" w:rsidRDefault="00E72411" w:rsidP="00E72411">
            <w:pPr>
              <w:pStyle w:val="Subtitle"/>
              <w:numPr>
                <w:ilvl w:val="0"/>
                <w:numId w:val="31"/>
              </w:numPr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os países A, B e C podem organizar, em conjunto, a aplicação dos artigos 33.º e 34.º entre os utilizadores do país A das empresas de pagamentos online do país B e das contas do país</w:t>
            </w:r>
            <w:r w:rsidR="003E3B46">
              <w:rPr>
                <w:rFonts w:ascii="Verdana" w:hAnsi="Verdana"/>
              </w:rPr>
              <w:t xml:space="preserve"> C</w:t>
            </w:r>
            <w:r>
              <w:rPr>
                <w:rFonts w:ascii="Verdana" w:hAnsi="Verdana"/>
              </w:rPr>
              <w:t xml:space="preserve"> das empresas de pagamentos online</w:t>
            </w:r>
          </w:p>
        </w:tc>
      </w:tr>
      <w:tr w:rsidR="00E72411" w:rsidRPr="00D82C18" w14:paraId="4D96F893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18140A3B" w14:textId="0DF383C0" w:rsidR="00E72411" w:rsidRDefault="00E72411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25</w:t>
            </w:r>
          </w:p>
        </w:tc>
        <w:tc>
          <w:tcPr>
            <w:tcW w:w="7485" w:type="dxa"/>
            <w:gridSpan w:val="2"/>
            <w:vAlign w:val="center"/>
          </w:tcPr>
          <w:p w14:paraId="6EFD69AC" w14:textId="514C0F43" w:rsidR="00E72411" w:rsidRDefault="00E72411" w:rsidP="00E72411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Este slide apresenta as perguntas e respostas específicas do Grupo 4 relativas ao estudo de caso.</w:t>
            </w:r>
          </w:p>
          <w:p w14:paraId="53FA419F" w14:textId="77777777" w:rsidR="00E72411" w:rsidRPr="00E72411" w:rsidRDefault="00E72411" w:rsidP="00E72411">
            <w:p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Respostas:</w:t>
            </w:r>
          </w:p>
          <w:p w14:paraId="42B448BA" w14:textId="77777777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titular e utilização de contas das empresas de pagamentos online, registos de transações, registos IP relativos à comunicação com as contas de empresas de pagamentos online, registos IP sobre a comunicação com os bancos do país A, artigos 29.º, 30.º e 31.º relativos ao fluxo e ao intercâmbio dos dados anteriores;</w:t>
            </w:r>
          </w:p>
          <w:p w14:paraId="1956EADA" w14:textId="77777777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sim, uma vez que a empresa de pagamentos online apoia a cooperação voluntária, pelo que antes da aplicação dos artigos podem ser solicitadas rubricas do balanço e alguns dados de tráfego;</w:t>
            </w:r>
          </w:p>
          <w:p w14:paraId="367C7A86" w14:textId="77777777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 país A centrar-se-á agora nas pessoas que recebem pagamentos nas suas contas bancárias;</w:t>
            </w:r>
          </w:p>
          <w:p w14:paraId="60752B8A" w14:textId="77777777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 xml:space="preserve">o país A regressa agora ao artigo 16.º, 18.º e 19.º no que diz respeito a ordens de transferência da empresa de pagamentos online para bancos locais e, se necessário, os artigos 20.º e 21.º podem ser aplicados aos dados de </w:t>
            </w:r>
            <w:r>
              <w:rPr>
                <w:rFonts w:ascii="Verdana" w:hAnsi="Verdana"/>
                <w:sz w:val="18"/>
              </w:rPr>
              <w:lastRenderedPageBreak/>
              <w:t>tráfego e de conteúdo entre os principais criminosos e as “mulas” de dinheiro;</w:t>
            </w:r>
          </w:p>
          <w:p w14:paraId="0A142434" w14:textId="77777777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no caso das redes sociais, os artigos 16.º e 18.º para a nova verificação das rubricas do balanço anteriores, os artigos 20.º e 21.º para o VOIP;</w:t>
            </w:r>
          </w:p>
          <w:p w14:paraId="53D92CC2" w14:textId="3F047F3F" w:rsidR="00E72411" w:rsidRPr="00E72411" w:rsidRDefault="00E72411" w:rsidP="00E72411">
            <w:pPr>
              <w:pStyle w:val="ListParagraph"/>
              <w:numPr>
                <w:ilvl w:val="0"/>
                <w:numId w:val="33"/>
              </w:numPr>
              <w:spacing w:before="20" w:after="120" w:line="280" w:lineRule="atLeas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 estudo de caso tem um final em aberto, o artigo 26.º deve ser aplicado e, se os participantes desejarem solicitar a detenção do suspeito principal no país E e a extradição, poderão recorrer ao artigo 24.º;</w:t>
            </w:r>
          </w:p>
        </w:tc>
      </w:tr>
      <w:tr w:rsidR="00E72411" w:rsidRPr="00D82C18" w14:paraId="472412CA" w14:textId="77777777" w:rsidTr="000F2415">
        <w:trPr>
          <w:trHeight w:val="1439"/>
        </w:trPr>
        <w:tc>
          <w:tcPr>
            <w:tcW w:w="1525" w:type="dxa"/>
            <w:vAlign w:val="center"/>
          </w:tcPr>
          <w:p w14:paraId="22947A4A" w14:textId="3648625E" w:rsidR="00E72411" w:rsidRDefault="00E72411" w:rsidP="00BD7897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28 a 31</w:t>
            </w:r>
          </w:p>
        </w:tc>
        <w:tc>
          <w:tcPr>
            <w:tcW w:w="7485" w:type="dxa"/>
            <w:gridSpan w:val="2"/>
            <w:vAlign w:val="center"/>
          </w:tcPr>
          <w:p w14:paraId="35242820" w14:textId="7F18ADBA" w:rsidR="00E72411" w:rsidRDefault="00E72411" w:rsidP="00E72411">
            <w:pPr>
              <w:pStyle w:val="Subtitle"/>
              <w:rPr>
                <w:rFonts w:ascii="Verdana" w:eastAsia="Times New Roman" w:hAnsi="Verdana"/>
                <w:szCs w:val="18"/>
              </w:rPr>
            </w:pPr>
            <w:r>
              <w:rPr>
                <w:rFonts w:ascii="Verdana" w:hAnsi="Verdana"/>
              </w:rPr>
              <w:t>Slides que introduzem e acompanham os relatórios de grupo.</w:t>
            </w:r>
          </w:p>
        </w:tc>
      </w:tr>
      <w:tr w:rsidR="005F709E" w:rsidRPr="00D82C18" w14:paraId="1918B48F" w14:textId="77777777" w:rsidTr="00F1574D">
        <w:trPr>
          <w:trHeight w:val="1313"/>
        </w:trPr>
        <w:tc>
          <w:tcPr>
            <w:tcW w:w="1525" w:type="dxa"/>
            <w:vAlign w:val="center"/>
          </w:tcPr>
          <w:p w14:paraId="224BC13F" w14:textId="16E5F8A5" w:rsidR="005F709E" w:rsidRDefault="00E72411" w:rsidP="00F1574D">
            <w:pPr>
              <w:spacing w:before="120" w:after="120" w:line="28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31 a 33</w:t>
            </w:r>
          </w:p>
        </w:tc>
        <w:tc>
          <w:tcPr>
            <w:tcW w:w="7485" w:type="dxa"/>
            <w:gridSpan w:val="2"/>
            <w:vAlign w:val="center"/>
          </w:tcPr>
          <w:p w14:paraId="2E2377DE" w14:textId="258E4D47" w:rsidR="005F709E" w:rsidRDefault="005F709E" w:rsidP="005F709E">
            <w:pPr>
              <w:spacing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Os slides finais permitem ao formador rever os objetivos de aprendizagem com os participantes de modo a ter a certeza de que foram alcançados. Constitui também uma oportunidade para os participantes levantarem quaisquer questões que tenham ou quando não tiverem compreendido plenamente os temas apresentados.</w:t>
            </w:r>
            <w:r w:rsidR="00E0185D">
              <w:rPr>
                <w:rFonts w:ascii="Verdana" w:hAnsi="Verdana"/>
                <w:sz w:val="18"/>
              </w:rPr>
              <w:t xml:space="preserve"> </w:t>
            </w:r>
          </w:p>
          <w:p w14:paraId="4F4159A3" w14:textId="21BA5D76" w:rsidR="005F709E" w:rsidRDefault="005F709E" w:rsidP="005F709E">
            <w:pPr>
              <w:spacing w:after="120" w:line="280" w:lineRule="exac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</w:rPr>
              <w:t>Além disso, o formador pode utilizar a sessão para verificar os conhecimentos adquiridos colocando perguntas aos participantes. Este aspeto é importante, uma vez que não existe uma avaliação formal para o curso.</w:t>
            </w:r>
          </w:p>
        </w:tc>
      </w:tr>
      <w:tr w:rsidR="00CB3026" w:rsidRPr="00D82C18" w14:paraId="2ECF09B7" w14:textId="77777777" w:rsidTr="00F1574D">
        <w:trPr>
          <w:trHeight w:val="890"/>
        </w:trPr>
        <w:tc>
          <w:tcPr>
            <w:tcW w:w="9010" w:type="dxa"/>
            <w:gridSpan w:val="3"/>
            <w:vAlign w:val="center"/>
          </w:tcPr>
          <w:p w14:paraId="55ED1F4B" w14:textId="77777777" w:rsidR="00CB3026" w:rsidRDefault="00CB3026" w:rsidP="00CB3026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Exercícios práticos</w:t>
            </w:r>
          </w:p>
          <w:p w14:paraId="04D65D89" w14:textId="53B80CFD" w:rsidR="00CB3026" w:rsidRPr="00CB3026" w:rsidRDefault="00000C58" w:rsidP="00B3608C">
            <w:pPr>
              <w:spacing w:before="120" w:after="120"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Nesta sessão está previsto um estudo de caso.</w:t>
            </w:r>
          </w:p>
        </w:tc>
      </w:tr>
      <w:tr w:rsidR="00CB3026" w:rsidRPr="00D82C18" w14:paraId="603967A2" w14:textId="77777777" w:rsidTr="00F1574D">
        <w:tc>
          <w:tcPr>
            <w:tcW w:w="9010" w:type="dxa"/>
            <w:gridSpan w:val="3"/>
            <w:vAlign w:val="center"/>
          </w:tcPr>
          <w:p w14:paraId="57B48D1E" w14:textId="77777777" w:rsidR="00CB3026" w:rsidRDefault="00CB3026" w:rsidP="00CB3026">
            <w:pPr>
              <w:spacing w:before="120" w:after="120" w:line="280" w:lineRule="exac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</w:rPr>
              <w:t>Avaliação/verificação de conhecimentos</w:t>
            </w:r>
          </w:p>
          <w:p w14:paraId="4496975B" w14:textId="1B3740FD" w:rsidR="00CB3026" w:rsidRPr="00CB3026" w:rsidRDefault="00CB3026" w:rsidP="00B3608C">
            <w:pPr>
              <w:spacing w:before="120" w:after="120" w:line="28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</w:rPr>
              <w:t>Não foi solicitada qualquer verificação ou avaliação de conhecimentos para esta sessão.</w:t>
            </w:r>
          </w:p>
        </w:tc>
      </w:tr>
    </w:tbl>
    <w:p w14:paraId="15498912" w14:textId="77777777" w:rsidR="00D82C18" w:rsidRPr="00D82C18" w:rsidRDefault="00D82C18">
      <w:pPr>
        <w:rPr>
          <w:rFonts w:ascii="Verdana" w:hAnsi="Verdana"/>
        </w:rPr>
      </w:pPr>
    </w:p>
    <w:sectPr w:rsidR="00D82C18" w:rsidRPr="00D82C18" w:rsidSect="00F1574D">
      <w:pgSz w:w="11900" w:h="16840"/>
      <w:pgMar w:top="783" w:right="1440" w:bottom="11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Bold">
    <w:altName w:val="Times New Roman"/>
    <w:panose1 w:val="020B0804030504040204"/>
    <w:charset w:val="00"/>
    <w:family w:val="auto"/>
    <w:pitch w:val="variable"/>
    <w:sig w:usb0="00000001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86C5820"/>
    <w:lvl w:ilvl="0">
      <w:numFmt w:val="decimal"/>
      <w:pStyle w:val="listbullet"/>
      <w:lvlText w:val="*"/>
      <w:lvlJc w:val="left"/>
      <w:rPr>
        <w:rFonts w:cs="Times New Roman"/>
      </w:rPr>
    </w:lvl>
  </w:abstractNum>
  <w:abstractNum w:abstractNumId="1" w15:restartNumberingAfterBreak="0">
    <w:nsid w:val="0A701041"/>
    <w:multiLevelType w:val="hybridMultilevel"/>
    <w:tmpl w:val="74B491D4"/>
    <w:lvl w:ilvl="0" w:tplc="13CE29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3ABC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32214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F2B6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06AE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3E00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06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A45DD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CC35F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490"/>
    <w:multiLevelType w:val="hybridMultilevel"/>
    <w:tmpl w:val="A170C0CA"/>
    <w:lvl w:ilvl="0" w:tplc="AB2AE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4026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0430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54E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8A46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BC8B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70E6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6AC0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E30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AFC2030"/>
    <w:multiLevelType w:val="hybridMultilevel"/>
    <w:tmpl w:val="2ABAA646"/>
    <w:lvl w:ilvl="0" w:tplc="76E0E7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E9B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E8243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B0E2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4E2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362F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839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C8A6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255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A6390"/>
    <w:multiLevelType w:val="hybridMultilevel"/>
    <w:tmpl w:val="CFB6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F75E0"/>
    <w:multiLevelType w:val="hybridMultilevel"/>
    <w:tmpl w:val="BA6E84EA"/>
    <w:lvl w:ilvl="0" w:tplc="676AC7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A17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2AF5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402E6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D4C72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821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3494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CCD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ABE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434E1"/>
    <w:multiLevelType w:val="hybridMultilevel"/>
    <w:tmpl w:val="BFA49E84"/>
    <w:lvl w:ilvl="0" w:tplc="DCAAE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52BA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04E8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B6C9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ED6F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520A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B67F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48A8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723C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0E10C7"/>
    <w:multiLevelType w:val="hybridMultilevel"/>
    <w:tmpl w:val="AADA1F4A"/>
    <w:lvl w:ilvl="0" w:tplc="BB2063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E09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3CF7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A0C5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DAF9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A07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9AED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8A8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B8290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C56D6"/>
    <w:multiLevelType w:val="hybridMultilevel"/>
    <w:tmpl w:val="1070EADA"/>
    <w:lvl w:ilvl="0" w:tplc="6E0E98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1E31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6651D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F877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162D7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7027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2A625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6F1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02A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724DC"/>
    <w:multiLevelType w:val="hybridMultilevel"/>
    <w:tmpl w:val="642C6C28"/>
    <w:lvl w:ilvl="0" w:tplc="1E307DD2">
      <w:start w:val="1"/>
      <w:numFmt w:val="bullet"/>
      <w:pStyle w:val="bu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721D4"/>
    <w:multiLevelType w:val="hybridMultilevel"/>
    <w:tmpl w:val="06AA2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A3C0F"/>
    <w:multiLevelType w:val="hybridMultilevel"/>
    <w:tmpl w:val="91E0D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910DB"/>
    <w:multiLevelType w:val="hybridMultilevel"/>
    <w:tmpl w:val="0F2A1AC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D1461F"/>
    <w:multiLevelType w:val="multilevel"/>
    <w:tmpl w:val="08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35FE0105"/>
    <w:multiLevelType w:val="hybridMultilevel"/>
    <w:tmpl w:val="794001B0"/>
    <w:lvl w:ilvl="0" w:tplc="0A1C56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54C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2756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C45E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9274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6ADF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A7C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523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042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369F3DD4"/>
    <w:multiLevelType w:val="hybridMultilevel"/>
    <w:tmpl w:val="53B6EDE2"/>
    <w:lvl w:ilvl="0" w:tplc="ADF87308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70608A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56C8FA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AB43C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16B7F0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F67CA8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A0AA6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247EE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180FF0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53227"/>
    <w:multiLevelType w:val="hybridMultilevel"/>
    <w:tmpl w:val="979830FA"/>
    <w:lvl w:ilvl="0" w:tplc="5E2668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76C5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E320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689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EE2B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28B5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84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23D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7C5F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5300E"/>
    <w:multiLevelType w:val="hybridMultilevel"/>
    <w:tmpl w:val="974CC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847485"/>
    <w:multiLevelType w:val="hybridMultilevel"/>
    <w:tmpl w:val="D2B054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255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133069"/>
    <w:multiLevelType w:val="hybridMultilevel"/>
    <w:tmpl w:val="D22EC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E54E4"/>
    <w:multiLevelType w:val="hybridMultilevel"/>
    <w:tmpl w:val="D2C2D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B2C9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3CE0840"/>
    <w:multiLevelType w:val="hybridMultilevel"/>
    <w:tmpl w:val="53E617F2"/>
    <w:lvl w:ilvl="0" w:tplc="190E7D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AC23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E431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F4AD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039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20A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4C69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6C33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E2C1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EA365F"/>
    <w:multiLevelType w:val="hybridMultilevel"/>
    <w:tmpl w:val="197021C0"/>
    <w:lvl w:ilvl="0" w:tplc="1396E6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2878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A4D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8E65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228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462F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12FD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1099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0C49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26FD7"/>
    <w:multiLevelType w:val="hybridMultilevel"/>
    <w:tmpl w:val="CFE6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C02A6"/>
    <w:multiLevelType w:val="hybridMultilevel"/>
    <w:tmpl w:val="8B0AA106"/>
    <w:lvl w:ilvl="0" w:tplc="E69EE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D46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FC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4E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EF6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C4E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94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C9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C2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3B62B50"/>
    <w:multiLevelType w:val="hybridMultilevel"/>
    <w:tmpl w:val="ABF09E5A"/>
    <w:lvl w:ilvl="0" w:tplc="5C4AE8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9607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56FC2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4D00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98C3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2AE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A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0E3E3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7E05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840D9"/>
    <w:multiLevelType w:val="hybridMultilevel"/>
    <w:tmpl w:val="FE127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D4895"/>
    <w:multiLevelType w:val="hybridMultilevel"/>
    <w:tmpl w:val="8F70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E1195"/>
    <w:multiLevelType w:val="hybridMultilevel"/>
    <w:tmpl w:val="48FEC0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722377"/>
    <w:multiLevelType w:val="hybridMultilevel"/>
    <w:tmpl w:val="85B03316"/>
    <w:lvl w:ilvl="0" w:tplc="44DE59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58BD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3C69C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EAF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09AF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28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4A52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CC21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94C9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53E50"/>
    <w:multiLevelType w:val="multilevel"/>
    <w:tmpl w:val="99E2FBE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Verdana" w:hAnsi="Verdan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6E864AE1"/>
    <w:multiLevelType w:val="hybridMultilevel"/>
    <w:tmpl w:val="E2F8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CA1946"/>
    <w:multiLevelType w:val="hybridMultilevel"/>
    <w:tmpl w:val="7A50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2"/>
  </w:num>
  <w:num w:numId="4">
    <w:abstractNumId w:val="19"/>
  </w:num>
  <w:num w:numId="5">
    <w:abstractNumId w:val="21"/>
  </w:num>
  <w:num w:numId="6">
    <w:abstractNumId w:val="34"/>
  </w:num>
  <w:num w:numId="7">
    <w:abstractNumId w:val="9"/>
  </w:num>
  <w:num w:numId="8">
    <w:abstractNumId w:val="0"/>
    <w:lvlOverride w:ilvl="0">
      <w:lvl w:ilvl="0">
        <w:start w:val="1"/>
        <w:numFmt w:val="bullet"/>
        <w:pStyle w:val="listbullet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</w:rPr>
      </w:lvl>
    </w:lvlOverride>
  </w:num>
  <w:num w:numId="9">
    <w:abstractNumId w:val="32"/>
  </w:num>
  <w:num w:numId="10">
    <w:abstractNumId w:val="5"/>
  </w:num>
  <w:num w:numId="11">
    <w:abstractNumId w:val="24"/>
  </w:num>
  <w:num w:numId="12">
    <w:abstractNumId w:val="31"/>
  </w:num>
  <w:num w:numId="13">
    <w:abstractNumId w:val="7"/>
  </w:num>
  <w:num w:numId="14">
    <w:abstractNumId w:val="12"/>
  </w:num>
  <w:num w:numId="15">
    <w:abstractNumId w:val="29"/>
  </w:num>
  <w:num w:numId="16">
    <w:abstractNumId w:val="1"/>
  </w:num>
  <w:num w:numId="17">
    <w:abstractNumId w:val="3"/>
  </w:num>
  <w:num w:numId="18">
    <w:abstractNumId w:val="33"/>
  </w:num>
  <w:num w:numId="19">
    <w:abstractNumId w:val="26"/>
  </w:num>
  <w:num w:numId="20">
    <w:abstractNumId w:val="8"/>
  </w:num>
  <w:num w:numId="21">
    <w:abstractNumId w:val="11"/>
  </w:num>
  <w:num w:numId="22">
    <w:abstractNumId w:val="27"/>
  </w:num>
  <w:num w:numId="23">
    <w:abstractNumId w:val="16"/>
  </w:num>
  <w:num w:numId="24">
    <w:abstractNumId w:val="15"/>
  </w:num>
  <w:num w:numId="25">
    <w:abstractNumId w:val="2"/>
  </w:num>
  <w:num w:numId="26">
    <w:abstractNumId w:val="18"/>
  </w:num>
  <w:num w:numId="27">
    <w:abstractNumId w:val="23"/>
  </w:num>
  <w:num w:numId="28">
    <w:abstractNumId w:val="20"/>
  </w:num>
  <w:num w:numId="29">
    <w:abstractNumId w:val="14"/>
  </w:num>
  <w:num w:numId="30">
    <w:abstractNumId w:val="30"/>
  </w:num>
  <w:num w:numId="31">
    <w:abstractNumId w:val="4"/>
  </w:num>
  <w:num w:numId="32">
    <w:abstractNumId w:val="6"/>
  </w:num>
  <w:num w:numId="33">
    <w:abstractNumId w:val="17"/>
  </w:num>
  <w:num w:numId="34">
    <w:abstractNumId w:val="1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18"/>
    <w:rsid w:val="00000C58"/>
    <w:rsid w:val="00006EAD"/>
    <w:rsid w:val="000C40EE"/>
    <w:rsid w:val="000F2415"/>
    <w:rsid w:val="000F7896"/>
    <w:rsid w:val="00151E6A"/>
    <w:rsid w:val="001D603D"/>
    <w:rsid w:val="0023008E"/>
    <w:rsid w:val="00260809"/>
    <w:rsid w:val="00271010"/>
    <w:rsid w:val="002E3ECE"/>
    <w:rsid w:val="002F3B54"/>
    <w:rsid w:val="0034224C"/>
    <w:rsid w:val="00342639"/>
    <w:rsid w:val="003453F7"/>
    <w:rsid w:val="003630ED"/>
    <w:rsid w:val="003A435F"/>
    <w:rsid w:val="003B34C4"/>
    <w:rsid w:val="003E3B46"/>
    <w:rsid w:val="003F6587"/>
    <w:rsid w:val="00450007"/>
    <w:rsid w:val="0045500D"/>
    <w:rsid w:val="00457DD3"/>
    <w:rsid w:val="00471328"/>
    <w:rsid w:val="00491738"/>
    <w:rsid w:val="004B7351"/>
    <w:rsid w:val="004D35F1"/>
    <w:rsid w:val="00556D69"/>
    <w:rsid w:val="005703B7"/>
    <w:rsid w:val="005A4E47"/>
    <w:rsid w:val="005D4432"/>
    <w:rsid w:val="005D5A2C"/>
    <w:rsid w:val="005D7794"/>
    <w:rsid w:val="005F709E"/>
    <w:rsid w:val="006527C6"/>
    <w:rsid w:val="006B6FDF"/>
    <w:rsid w:val="0075334E"/>
    <w:rsid w:val="007678A6"/>
    <w:rsid w:val="00773F6C"/>
    <w:rsid w:val="0080315D"/>
    <w:rsid w:val="008147B2"/>
    <w:rsid w:val="00844FBF"/>
    <w:rsid w:val="008817F1"/>
    <w:rsid w:val="008A4C93"/>
    <w:rsid w:val="008E3FE7"/>
    <w:rsid w:val="008E4D2C"/>
    <w:rsid w:val="00951791"/>
    <w:rsid w:val="009D1DB1"/>
    <w:rsid w:val="009F336B"/>
    <w:rsid w:val="00A03CF0"/>
    <w:rsid w:val="00A31FA0"/>
    <w:rsid w:val="00A342ED"/>
    <w:rsid w:val="00A4110D"/>
    <w:rsid w:val="00A60446"/>
    <w:rsid w:val="00A734A5"/>
    <w:rsid w:val="00A76996"/>
    <w:rsid w:val="00AA5742"/>
    <w:rsid w:val="00AB07AA"/>
    <w:rsid w:val="00B3608C"/>
    <w:rsid w:val="00B40FCA"/>
    <w:rsid w:val="00B56791"/>
    <w:rsid w:val="00BA319A"/>
    <w:rsid w:val="00BA6A8F"/>
    <w:rsid w:val="00BD7897"/>
    <w:rsid w:val="00C115FC"/>
    <w:rsid w:val="00C541A2"/>
    <w:rsid w:val="00CB02C4"/>
    <w:rsid w:val="00CB3026"/>
    <w:rsid w:val="00CC1F79"/>
    <w:rsid w:val="00CC2222"/>
    <w:rsid w:val="00D46C6A"/>
    <w:rsid w:val="00D62E5F"/>
    <w:rsid w:val="00D82C18"/>
    <w:rsid w:val="00E0185D"/>
    <w:rsid w:val="00E13BE7"/>
    <w:rsid w:val="00E72411"/>
    <w:rsid w:val="00E7344B"/>
    <w:rsid w:val="00E95703"/>
    <w:rsid w:val="00EE1E16"/>
    <w:rsid w:val="00F1338F"/>
    <w:rsid w:val="00F1574D"/>
    <w:rsid w:val="00F504D6"/>
    <w:rsid w:val="00F62A15"/>
    <w:rsid w:val="00F824B2"/>
    <w:rsid w:val="00F955B5"/>
    <w:rsid w:val="00FB6DE5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CF78"/>
  <w14:defaultImageDpi w14:val="32767"/>
  <w15:docId w15:val="{3B29B350-01AC-49EB-9C94-549F8938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autoRedefine/>
    <w:uiPriority w:val="9"/>
    <w:qFormat/>
    <w:rsid w:val="003453F7"/>
    <w:pPr>
      <w:keepNext/>
      <w:keepLines/>
      <w:numPr>
        <w:numId w:val="9"/>
      </w:numPr>
      <w:spacing w:before="120" w:after="240" w:line="260" w:lineRule="atLeast"/>
      <w:ind w:right="-79"/>
      <w:jc w:val="both"/>
      <w:outlineLvl w:val="0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F7"/>
    <w:pPr>
      <w:keepNext/>
      <w:keepLines/>
      <w:numPr>
        <w:ilvl w:val="1"/>
        <w:numId w:val="9"/>
      </w:numPr>
      <w:spacing w:before="120" w:after="240" w:line="280" w:lineRule="atLeast"/>
      <w:ind w:right="-79"/>
      <w:jc w:val="both"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F7"/>
    <w:pPr>
      <w:keepNext/>
      <w:keepLines/>
      <w:numPr>
        <w:ilvl w:val="2"/>
        <w:numId w:val="9"/>
      </w:numPr>
      <w:spacing w:before="120" w:after="240" w:line="280" w:lineRule="atLeast"/>
      <w:ind w:left="851" w:right="-79" w:hanging="851"/>
      <w:jc w:val="both"/>
      <w:outlineLvl w:val="2"/>
    </w:pPr>
    <w:rPr>
      <w:rFonts w:ascii="Verdana" w:eastAsiaTheme="majorEastAsia" w:hAnsi="Verdana" w:cstheme="majorBidi"/>
      <w:b/>
      <w:bCs/>
      <w:sz w:val="1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3F7"/>
    <w:pPr>
      <w:keepNext/>
      <w:keepLines/>
      <w:numPr>
        <w:ilvl w:val="3"/>
        <w:numId w:val="9"/>
      </w:numPr>
      <w:spacing w:before="120" w:after="120" w:line="280" w:lineRule="atLeast"/>
      <w:ind w:right="-79"/>
      <w:jc w:val="both"/>
      <w:outlineLvl w:val="3"/>
    </w:pPr>
    <w:rPr>
      <w:rFonts w:ascii="Verdana" w:eastAsiaTheme="majorEastAsia" w:hAnsi="Verdana" w:cstheme="majorBidi"/>
      <w:b/>
      <w:bCs/>
      <w:iCs/>
      <w:sz w:val="18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3F7"/>
    <w:pPr>
      <w:keepNext/>
      <w:keepLines/>
      <w:numPr>
        <w:ilvl w:val="4"/>
        <w:numId w:val="9"/>
      </w:numPr>
      <w:spacing w:before="200" w:line="280" w:lineRule="atLeast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3F7"/>
    <w:pPr>
      <w:keepNext/>
      <w:keepLines/>
      <w:numPr>
        <w:ilvl w:val="5"/>
        <w:numId w:val="9"/>
      </w:numPr>
      <w:spacing w:before="200" w:line="280" w:lineRule="atLeast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3F7"/>
    <w:pPr>
      <w:keepNext/>
      <w:keepLines/>
      <w:numPr>
        <w:ilvl w:val="6"/>
        <w:numId w:val="9"/>
      </w:numPr>
      <w:spacing w:before="200" w:line="280" w:lineRule="atLeast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3F7"/>
    <w:pPr>
      <w:keepNext/>
      <w:keepLines/>
      <w:numPr>
        <w:ilvl w:val="7"/>
        <w:numId w:val="9"/>
      </w:numPr>
      <w:spacing w:before="200" w:line="280" w:lineRule="atLeast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3F7"/>
    <w:pPr>
      <w:keepNext/>
      <w:keepLines/>
      <w:numPr>
        <w:ilvl w:val="8"/>
        <w:numId w:val="9"/>
      </w:numPr>
      <w:spacing w:before="200" w:line="28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C18"/>
    <w:pPr>
      <w:ind w:left="720"/>
      <w:contextualSpacing/>
    </w:pPr>
  </w:style>
  <w:style w:type="paragraph" w:customStyle="1" w:styleId="bul1">
    <w:name w:val="bul1"/>
    <w:basedOn w:val="Normal"/>
    <w:link w:val="bul1Char"/>
    <w:qFormat/>
    <w:rsid w:val="00E7344B"/>
    <w:pPr>
      <w:numPr>
        <w:numId w:val="7"/>
      </w:numPr>
      <w:spacing w:line="280" w:lineRule="atLeast"/>
      <w:ind w:left="851" w:hanging="851"/>
      <w:jc w:val="both"/>
    </w:pPr>
    <w:rPr>
      <w:rFonts w:ascii="Verdana" w:eastAsia="Calibri" w:hAnsi="Verdana" w:cs="Times New Roman"/>
      <w:sz w:val="18"/>
      <w:lang w:eastAsia="de-DE"/>
    </w:rPr>
  </w:style>
  <w:style w:type="character" w:customStyle="1" w:styleId="bul1Char">
    <w:name w:val="bul1 Char"/>
    <w:link w:val="bul1"/>
    <w:locked/>
    <w:rsid w:val="00E7344B"/>
    <w:rPr>
      <w:rFonts w:ascii="Verdana" w:eastAsia="Calibri" w:hAnsi="Verdana" w:cs="Times New Roman"/>
      <w:sz w:val="18"/>
      <w:lang w:val="pt-PT" w:eastAsia="de-DE"/>
    </w:rPr>
  </w:style>
  <w:style w:type="character" w:styleId="Hyperlink">
    <w:name w:val="Hyperlink"/>
    <w:basedOn w:val="DefaultParagraphFont"/>
    <w:uiPriority w:val="99"/>
    <w:unhideWhenUsed/>
    <w:rsid w:val="005703B7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026"/>
    <w:pPr>
      <w:numPr>
        <w:ilvl w:val="1"/>
      </w:numPr>
      <w:spacing w:before="20" w:after="120" w:line="280" w:lineRule="atLeast"/>
      <w:jc w:val="both"/>
    </w:pPr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B3026"/>
    <w:rPr>
      <w:rFonts w:ascii="Verdana Bold" w:eastAsiaTheme="majorEastAsia" w:hAnsi="Verdana Bold" w:cstheme="majorBidi"/>
      <w:iCs/>
      <w:color w:val="000000" w:themeColor="text1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453F7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3F7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F7"/>
    <w:rPr>
      <w:rFonts w:ascii="Verdana" w:eastAsiaTheme="majorEastAsia" w:hAnsi="Verdana" w:cstheme="majorBidi"/>
      <w:b/>
      <w:bCs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3F7"/>
    <w:rPr>
      <w:rFonts w:ascii="Verdana" w:eastAsiaTheme="majorEastAsia" w:hAnsi="Verdana" w:cstheme="majorBidi"/>
      <w:b/>
      <w:bCs/>
      <w:iCs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3F7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3F7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3F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453F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listbullet">
    <w:name w:val="listbullet"/>
    <w:basedOn w:val="Normal"/>
    <w:rsid w:val="003453F7"/>
    <w:pPr>
      <w:numPr>
        <w:numId w:val="8"/>
      </w:numPr>
      <w:tabs>
        <w:tab w:val="left" w:pos="567"/>
      </w:tabs>
      <w:spacing w:line="280" w:lineRule="atLeast"/>
      <w:jc w:val="both"/>
    </w:pPr>
    <w:rPr>
      <w:rFonts w:ascii="Book Antiqua" w:eastAsia="Calibri" w:hAnsi="Book Antiqua" w:cs="Times New Roman"/>
      <w:sz w:val="19"/>
      <w:szCs w:val="20"/>
    </w:rPr>
  </w:style>
  <w:style w:type="paragraph" w:styleId="NormalWeb">
    <w:name w:val="Normal (Web)"/>
    <w:basedOn w:val="Normal"/>
    <w:uiPriority w:val="99"/>
    <w:semiHidden/>
    <w:unhideWhenUsed/>
    <w:rsid w:val="00556D6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12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57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76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4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1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340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3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70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64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5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605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1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30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2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20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94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75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88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940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2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96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8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616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65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7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5982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5266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95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2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Nigel (nigel.jones@canterbury.ac.uk)</dc:creator>
  <cp:keywords/>
  <dc:description/>
  <cp:lastModifiedBy>Ashley</cp:lastModifiedBy>
  <cp:revision>8</cp:revision>
  <dcterms:created xsi:type="dcterms:W3CDTF">2020-09-29T14:53:00Z</dcterms:created>
  <dcterms:modified xsi:type="dcterms:W3CDTF">2021-06-18T08:23:00Z</dcterms:modified>
</cp:coreProperties>
</file>